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3420"/>
        <w:gridCol w:w="236"/>
        <w:gridCol w:w="3284"/>
      </w:tblGrid>
      <w:tr>
        <w:tblPrEx/>
        <w:trPr>
          <w:jc w:val="center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0225" cy="652145"/>
                      <wp:effectExtent l="0" t="0" r="3175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0225" cy="6521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75pt;height:51.35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tabs>
                <w:tab w:val="left" w:pos="409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3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№ 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 Новосибирск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доклада, содержащего результаты обобщения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по итогам 2024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tooltip="consultantplus://offline/ref=E0C1A6EF60EBA1D6D363CDA0A89FB7B123F3077E015DDA521465D20813A05BE8B853A49227B2823BD919929748F2755362D59762237AB15BcBLCG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4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br/>
        <w:t xml:space="preserve">№ 248-ФЗ «О государственном контроле (надзоре) и муниципальном контроле в Российской Федерации», </w:t>
      </w:r>
      <w:hyperlink r:id="rId12" w:tooltip="consultantplus://offline/ref=E0C1A6EF60EBA1D6D363D3ADBEF3E9B829F050760058D2054D31D45F4CF05DBDF813A2C764F68A39D112C7C70AAC2C032F9E9A623466B158A0D9C552c1L6G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региональном государственном контр</w:t>
      </w:r>
      <w:r>
        <w:rPr>
          <w:rFonts w:ascii="Times New Roman" w:hAnsi="Times New Roman" w:cs="Times New Roman"/>
          <w:sz w:val="28"/>
          <w:szCs w:val="28"/>
        </w:rPr>
        <w:t xml:space="preserve">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утвержденного постановлением Правительства Новосибирской области от 20.09.</w:t>
      </w:r>
      <w:r>
        <w:rPr>
          <w:rFonts w:ascii="Times New Roman" w:hAnsi="Times New Roman" w:cs="Times New Roman"/>
          <w:sz w:val="28"/>
          <w:szCs w:val="28"/>
        </w:rPr>
        <w:t xml:space="preserve">2021 № 362-п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Утвердить доклад, содержащий результаты обобщения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по итогам 2024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Контроль за исполнением приказа оставляю за собой.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Е.В. Бахарева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приказом 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труда и социального развития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____________ № 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ОКЛАД,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содержащий результаты обобщения правоприменительной практики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министерства труда и социального развития Новосибирской области при осуществлении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итогам 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Раздел 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остояние нормативно-правового регулирования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соответствующей сфере деятельности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Новосибирской области (далее – министерство)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наделено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 – государственный контроль (надзор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Предметом государственного контроля (надзора) является соблюдение организациями отдыха детей и их оздоровления, содержащимися в реестре организаций отдыха детей и их оздоровления на территории Новосибирской области (далее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реестр), требований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достоверности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ктуальности и полноте сведений о них,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представляемых для включения в реестр (далее – обязательные требования).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 осуществляет государственный контроль (надзор) в отношении организаций отдыха детей и их оздоровления, содержащихся в реестре (далее – контролируемые лица)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осуществления государственного контроля (надзора) обеспечивается соблюдение требований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24.07.1998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124-ФЗ «Об основных гарантиях прав ребенка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иных нормативных правовых актов Российской Федерации, законов и иных нормативных правовых актов Новосибирской области, изданных в целях учета объектов государственного контроля (надзора) и связанных с ними контролируемых лиц.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8"/>
        <w:jc w:val="both"/>
        <w:spacing w:after="0" w:line="57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2024 году осуществлялся министерством в соответствии с Федеральным законом от 31.07.2020 № 248-ФЗ «О государственном контроле (надзоре) и муниципальном контроле в Российской Федерации» (далее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Федеральный закон № 248-ФЗ), постановлением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 Новосибирской области от 20.09.2021 № 362-п «Об утверждении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ния, содержащихся в реестре организаций отдыха детей и их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оздоровления»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редакции постановлений Правительства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от 22.03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.2022 № 106-п, от 26.07.2022 № 342-п, от 25.04.2023 № 182-п,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от 29.12.2023 № 665-п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31.05.2024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№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hyperlink r:id="rId13" w:tooltip="https://login.consultant.ru/link/?req=doc&amp;base=RLAW049&amp;n=173124&amp;dst=100005" w:history="1">
        <w:r>
          <w:rPr>
            <w:rStyle w:val="84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250-п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Положение,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постановление №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362-п)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соответствии с Федеральным законом № 248-ФЗ, постановлением Правительства Российской Федерации от 25.06.2021 № 990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реда (ущерба)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храняемым законом ценностям» (далее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постановление № 990), приказом министерства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03.12.2024 № 2604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 утверждении программы профилактики рисков причинения вреда (ущерба)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храняемым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вления,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 2025 год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была утв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ерждена программа профилактики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рисков причинения вреда (ущерба)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хран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яемым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вления,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на 2025 год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  <w14:ligatures w14:val="none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color w:val="auto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  <w14:ligatures w14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  <w14:ligatures w14:val="none"/>
        </w:rPr>
        <w:t xml:space="preserve"> соответствии с Федеральным законом № 248-ФЗ, постановлением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деятельности», приказом минист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  <w14:ligatures w14:val="none"/>
        </w:rPr>
        <w:t xml:space="preserve">рства от 18.04.2023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lang w:eastAsia="ru-RU"/>
          <w14:ligatures w14:val="none"/>
        </w:rPr>
        <w:t xml:space="preserve">№ 462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lang w:eastAsia="ru-RU"/>
          <w14:ligatures w14:val="none"/>
        </w:rPr>
        <w:t xml:space="preserve"> «Об определении должностных лиц министерства труда и социального развития Новосибирской области, ответственных за обеспечение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lang w:eastAsia="ru-RU"/>
          <w14:ligatures w14:val="none"/>
        </w:rPr>
        <w:t xml:space="preserve"> работы по рассмотрению жалоб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 при осуществлении регионального государственного контроля (надзора)»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  <w14:ligatures w14:val="none"/>
        </w:rPr>
        <w:t xml:space="preserve">определены должностные лица министерства, ответственные за обеспечение работы по рассмотрению жалоб в подсистеме досудебного обжалования государственной информационной системы «Типовое облачное решение по автоматизации контрольной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  <w14:ligatures w14:val="none"/>
        </w:rPr>
        <w:t xml:space="preserve"> (надзорной) деятельности»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ГИС ТОР КНД)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  <w14:ligatures w14:val="none"/>
        </w:rPr>
        <w:t xml:space="preserve">при осуществлении регионального государственного контроля (надзора).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b w:val="0"/>
          <w:bCs w:val="0"/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  <w14:ligatures w14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  <w14:ligatures w14:val="none"/>
        </w:rPr>
        <w:t xml:space="preserve"> соответствии с пунктом 9 Положения о взаимодействии исполнительных органов государственной власти Новосиб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ирской области, органов местного самоуправления муниципальных образований Новосибирской области при внедрении и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ГИС ТОР КНД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утвержденного распоряжением Правительства Новосибирской области от 06.04.2023 № 234-рп «Об утверждении Положения о взаимодействии исполнительных органов государ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твенной власти Новосибирской области, органов местного самоуправления муниципальных образований Новосибирской области при внедрении и использовании государственной информационной системы «Типовое облачное решение по автоматизации контрольной (надзорной) 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тельности», приказом 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  <w14:ligatures w14:val="none"/>
        </w:rPr>
        <w:t xml:space="preserve">от 18.04.2023 № 463 «Об утверждении Перечня должностных лиц министерства труда и социального развития Новосибирской области, являющихся пользователями государственной информационной системы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«Типовое облачное решение по автоматизации контрольной (надзорной) деятельности»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  <w:t xml:space="preserve">, с указанием ролей для предоставле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  <w14:ligatures w14:val="none"/>
        </w:rPr>
        <w:t xml:space="preserve">ния доступа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ru-RU"/>
          <w14:ligatures w14:val="none"/>
        </w:rPr>
        <w:t xml:space="preserve">в личные кабинеты»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lang w:eastAsia="ru-RU"/>
          <w14:ligatures w14:val="none"/>
        </w:rPr>
        <w:t xml:space="preserve">ут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lang w:eastAsia="ru-RU"/>
          <w14:ligatures w14:val="none"/>
        </w:rPr>
        <w:t xml:space="preserve">вержден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  <w14:ligatures w14:val="none"/>
        </w:rPr>
        <w:t xml:space="preserve"> Перечень должностных лиц министерства,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  <w14:ligatures w14:val="none"/>
        </w:rPr>
        <w:t xml:space="preserve"> являющихся пользователями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ГИС ТОР КНД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  <w14:ligatures w14:val="none"/>
        </w:rPr>
        <w:t xml:space="preserve">, с указа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  <w14:ligatures w14:val="none"/>
        </w:rPr>
        <w:t xml:space="preserve">нием ролей для предоставления доступа в личные кабинеты.</w:t>
      </w: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pStyle w:val="858"/>
        <w:numPr>
          <w:ilvl w:val="0"/>
          <w:numId w:val="0"/>
        </w:numPr>
        <w:ind w:firstLine="708"/>
        <w:jc w:val="both"/>
        <w:spacing w:after="0" w:afterAutospacing="0" w:line="17" w:lineRule="atLeast"/>
        <w:rPr>
          <w:rFonts w:ascii="Times New Roman" w:hAnsi="Times New Roman" w:cs="Times New Roman"/>
          <w:color w:val="auto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Приказами министерства от 07.10.2024 №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2209 «О внесении изменения в приказ министерства труда и социального развития Новосибирской области 03.09.2021 № 769», от 07.10.2024 № 2210 «О внесении изменения в приказ министерства труда и социального развития Новосибирской области 18.04.2023 № 463» вне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сены изменения в приказы министерства от 03.09.2021 № 769 «О назначении ответственных лиц по внесению сведений в информационные системы государственного контроля (надзора)», от 18.04.2023 № 463 «Об утверждении Перечня должностных лиц министерства труда и 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циального развития Новосибирской области, являющихся пользователями государственной информационной системы «Типовое облачное решение по автоматизации контрольной (надзорной) деятельности», с указанием ролей для предоставления доступа в в личные кабинеты».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Утвержден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приказ министерства от 30.09.2024 № 2156 «Об утверждении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порядков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взаим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одействия 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клиентом в рамках осуществления регионального контроля (надзора)» согласно которому, в целях получения обратной связи при осуществлении профилактических мероприятий в рамках осуществления регионального контроля (надзора) проводится онлайн опрос клиентов.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QR-коды для проведения опросов размещены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официальном сайте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министерства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в 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«Деятельность/Контрольно-надзорная деятельность/ Проведение контрольных (надзорных) мероприятий, профилактика нарушений обязательных требований».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numPr>
          <w:ilvl w:val="0"/>
          <w:numId w:val="0"/>
        </w:numPr>
        <w:ind w:firstLine="708"/>
        <w:jc w:val="both"/>
        <w:spacing w:after="0" w:afterAutospacing="0" w:line="17" w:lineRule="atLeast"/>
        <w:rPr>
          <w:rFonts w:ascii="Times New Roman" w:hAnsi="Times New Roman" w:cs="Times New Roman"/>
          <w:color w:val="4f81bd" w:themeColor="accent1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  <w14:ligatures w14:val="none"/>
        </w:rPr>
        <w:t xml:space="preserve">Разрабатываемые министерством нормативные правовые акты публикуются в свободном доступе на официальном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сайте министерства в специально созданном разделе «Контрольно-надзорная дея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тельность», размещаются в различных информационно-правовых (информационно-справочных) системах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>
        <w:rPr>
          <w:rFonts w:ascii="Times New Roman" w:hAnsi="Times New Roman" w:cs="Times New Roman"/>
          <w:color w:val="4f81bd" w:themeColor="accen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4f81bd" w:themeColor="accent1"/>
          <w:sz w:val="28"/>
          <w:szCs w:val="28"/>
          <w:highlight w:val="white"/>
        </w:rPr>
      </w:r>
    </w:p>
    <w:p>
      <w:pPr>
        <w:numPr>
          <w:ilvl w:val="0"/>
          <w:numId w:val="0"/>
        </w:num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Перечень нормативных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равовых актов актуализирован и размещен в формате, доступном для скачивания и пригодном для обработки в текстовых редакторах, с активными гиперссылками. Открытие гиперссылки позволяет получить доступ к полному тексту соответствующего нормативного правового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акта для просмотра в форматах, доступных для скачивания и пригодных для обработки в текстовых редакторах. Все нормативные правовые акты, включенные в перечень актов, поддерживаются в актуальном состоянии. При внесении изменений в нормативные правовые акты,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включенные в перечень актов, их содержание оперативно обновляется.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Перечень актов размещен также на официальном сайте Правительства Новосибирской области, в сетевом издании «Официальный интернет-портал правовой информации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Раздел 2.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Организация государств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енного контроля (надзора)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 осуществляет государственный контроль (надзор) в отношении контролируемы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осуществления государственного контроля (надзора)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соответствии с подпунктом «е» пункта 5 Правил формирования и вед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являющихся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приложением к Правилам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ведения федеральной государственной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информационной системы «Федеральный реестр государственных и муниципальных услуг (функций),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утвержденных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постановлени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ем Правительства Российской Федерации от 24.10.2011 № 861 «О Федеральных государственных информационных системах, обеспечивающих предоставление в электронной 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государственных и муниципальных услуг (осуществление функций)» (далее – постановление № 861)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единый реестр видов федерального государственного контроля (надзора), регионального государственного контроля (надзора), муниципаль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ного контроля (далее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ЕРВК) вне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сены сведения об объектах контроля и присвоенных им категориях риска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реестр категорированных объектов).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еестр катег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орированных объектов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размещен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официальном сайте министерства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разделе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«Деятельность/Контрольно-надзорная деятельность/Перечень объектов контроля, учитываемых в рамках формирования ежегодного плана контрольных (надзорных) мероприятий, с указанием категории риска».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31.12.2020 № 2428 «О порядке формирования плана проведения плановых контрольных (надзорных) мероприятий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очередной календарный год, его согласования с органами прокуратуры, включения в нег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о и исключения из него контрольных (надзорных) мероприятий в течение года» (далее – постановление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№ 2428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) осуществляется формирование и согласование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плана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(далее – план КНМ)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с органами прокуратуры.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При формировании ежегодного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плана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КНМ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конт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ролируемых лиц в обязательном порядке предусматривается проведение мероприятий по осуществлению контроля за соблюдением организациями отдыха детей и их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оздоровления, содержащимися в реестре, требований к достоверности, актуальности и полноте сведений о них, представляемых для включения в реестр, с целью своевременного выявления и пресечения нарушений в сфере организации отдыха детей и их оздоровления.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</w:t>
      </w:r>
      <w:r>
        <w:rPr>
          <w:rFonts w:ascii="Times New Roman" w:hAnsi="Times New Roman" w:cs="Times New Roman"/>
          <w:sz w:val="28"/>
          <w:szCs w:val="28"/>
        </w:rPr>
        <w:t xml:space="preserve">сполнение функции по государственному контролю (надзору)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нормативно-правовыми актами: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Федерального уровня: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 Федеральным законом от 24.07.1998 № 124-ФЗ «Об основных гарантиях прав ребенка в Российской Федераци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–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Федеральный закон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 124-ФЗ);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02.05.2006 № </w:t>
      </w:r>
      <w:r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31.07.2020 № </w:t>
      </w:r>
      <w:r>
        <w:rPr>
          <w:rFonts w:ascii="Times New Roman" w:hAnsi="Times New Roman" w:cs="Times New Roman"/>
          <w:sz w:val="28"/>
          <w:szCs w:val="28"/>
        </w:rPr>
        <w:t xml:space="preserve">247-ФЗ «Об обязательных требованиях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Федеральным законом от 31.07.2021 № 248-ФЗ «О государственном контроле (надзоре) и муниципальном контроле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861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990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постановление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Правительства Росси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йской Федерации от 10.03.2022 №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336 </w:t>
      </w:r>
      <w:r>
        <w:rPr>
          <w:rFonts w:ascii="Times New Roman" w:hAnsi="Times New Roman" w:cs="Times New Roman"/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приказом Министерства просвещения Российской Федерации от 21.10.2019 № 570 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Регионального уровня: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Законом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12.05.2003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111</w:t>
      </w:r>
      <w:r>
        <w:rPr>
          <w:rFonts w:ascii="Times New Roman" w:hAnsi="Times New Roman" w:cs="Times New Roman"/>
          <w:sz w:val="28"/>
          <w:szCs w:val="28"/>
        </w:rPr>
        <w:t xml:space="preserve">-ОЗ «</w:t>
      </w:r>
      <w:r>
        <w:rPr>
          <w:rFonts w:ascii="Times New Roman" w:hAnsi="Times New Roman" w:cs="Times New Roman"/>
          <w:sz w:val="28"/>
          <w:szCs w:val="28"/>
        </w:rPr>
        <w:t xml:space="preserve">О защите прав детей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362-п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 28.07.2022 № </w:t>
      </w:r>
      <w:r>
        <w:rPr>
          <w:rFonts w:ascii="Times New Roman" w:hAnsi="Times New Roman" w:cs="Times New Roman"/>
          <w:sz w:val="28"/>
          <w:szCs w:val="28"/>
        </w:rPr>
        <w:t xml:space="preserve">136 «О Порядке установления и оценки применения обязательных требований, содержащихся в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актах Новосибирской области, в том числе оценки фактического воздействия указанных нормативных правовых актов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постановление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136-п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руда и социального развития Новосибирской области 02.03.2020 № 167 «Об установлении Порядка формирования и ведения реестра организаций отдыха детей и их оздоровления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по осуществлению государственного контроля (надзора)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разделе «Деятельность/Контрольно-надзорная деятельность/ Нормативные правовые акты по осуществлению регионального государственного контроля (надзора)».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136-п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Реестр обязательных требований контрольного органа, осуществляющего нормативное правовое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в сферах труда, занятости населения, социальной защиты населения, социального обслуживания граждан в Новосибирской области, опеки и попечительства, отдыха и оздоровления отдельных категорий граждан, в том числе детей, на территории Новосибирской области.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(далее – Перечень актов)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 созданном отдельном подразделе «Обязательные требования» раздела «Деятельность/Контрольно-надзорная деятельность».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Раздел 3.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Финансовое и кадровое обеспечение госуд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арственного контроля (надзора)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должностных лиц 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уполномоченных осуществлять государственный контроль (надзор)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утвержден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№ 36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штатных единиц по должностям, предусматривающим выполнение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единиц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Обеспечение деятельности по осуществлению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(надзора)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отчетном периоде осуществля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выделенных на содержание министерства в пределах утвержденны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 бюджетных ассигнований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сотрудники имеют высшее образование, стаж государственной гражданской службы более 3 лет.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 дополнительного профессионального образования, профессиональная переподготовка, повышение квалификации, участие в обучающих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еминарах, лекциях, практикумах осуществляются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для государственных гражданских служащих министерства в соответствии с индивидуальным планом профессионального развития государственного гражданского служащего на соответствующий период и на базе соответствующих организаций (в том числе образовательных).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году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сотрудниками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 министерства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, осуществляющими деятельность по выполнению контрольных (надзорных) мероприятий,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 пройдено повышение квалификации по программе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Совершенствование контрольно-надзорной деятельности в органах публичной власти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yellow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Раздел 4.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Проведение государственного контроля (надзора)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2024 году в рамках государственного контроля (надзора) министерством плановые и внеплановые проверки, в отношении контролируемых лиц, не проводились, так как в соответствии с частью 5 статьи 25 Федеральног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закона № 248-ФЗ и пунктом 17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оложения в отношении объектов государственного контроля (надзора), которые отнесены к категории низкого риска, плановые контрольные (надзорные) мероприятия не проводятся.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Сформированный реестр категорированных объектов в сфере организации отдыха и оздоровления детей относится к категории низкого риска, формирование проекта ежегодного плана КНМ при осуществлении государственного контроля (надзора) не требуется.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связи с чем в 2024 году контрольным органом план КНМ не направлялся на согласование в прокуратуру Новосибирской области.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целях недопущения нарушений обязательных требований законодательства в сфере организации отдыха детей и их оздоровле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ния министерством в течение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проводились мероприятия по профилактике нарушений обязательных требований.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статьей 44 Федерального закона № 248-ФЗ, постановлением №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990 </w:t>
      </w:r>
      <w:r>
        <w:rPr>
          <w:rFonts w:ascii="Times New Roman" w:hAnsi="Times New Roman"/>
          <w:bCs/>
          <w:sz w:val="28"/>
          <w:szCs w:val="28"/>
        </w:rPr>
        <w:t xml:space="preserve">министерством ежегодно разрабатывается и утверждается программа профилактики рисков причинения вреда (</w:t>
      </w:r>
      <w:r>
        <w:rPr>
          <w:rFonts w:ascii="Times New Roman" w:hAnsi="Times New Roman"/>
          <w:bCs/>
          <w:sz w:val="28"/>
          <w:szCs w:val="28"/>
        </w:rPr>
        <w:t xml:space="preserve">ущерба) охраняемым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</w:t>
      </w:r>
      <w:r>
        <w:rPr>
          <w:rFonts w:ascii="Times New Roman" w:hAnsi="Times New Roman"/>
          <w:bCs/>
          <w:sz w:val="28"/>
          <w:szCs w:val="28"/>
        </w:rPr>
        <w:t xml:space="preserve">их оздоровления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формировании плана-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графика проведения профилактических мероприятий при осуществлении регионального контроля (надзора) за достоверностью, актуальностью и полнотой сведений об организациях отдыха и оздоровления детей, содержащихся в реестре организаций отдыха детей и их оздоро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вления (далее – План), утвержденного программой профилактики, в обязательном порядке предусматривается проведение профилактических мероприятий Плана с целью своевременного выявления и пресечения нарушений в сфере организации отдыха детей и их оздоровления.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государственного контроля (надзора) осуществлялись профилактические мероприятия: информирование, консультирование.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2024 году министерством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проведено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65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профилактических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мероприятий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предоставлено 35 консультаций, 4 информирования.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В соответствии с частью 2 статьи 57 Федерального закона № 248-ФЗ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министерством проводятся контрольные (надзорные) мероприятия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без взаимодействия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с контролируемыми лицами.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Задание на проведение контрольного (надзорного) мероприятия без взаимодействия с контролируемым лицом (наблюдени</w:t>
      </w:r>
      <w:r>
        <w:rPr>
          <w:rFonts w:ascii="Times New Roman" w:hAnsi="Times New Roman"/>
          <w:color w:val="auto"/>
          <w:sz w:val="28"/>
          <w:szCs w:val="28"/>
        </w:rPr>
        <w:t xml:space="preserve">е за соблюдением обязательных требований) при осуществлении регионального государственного контроля (надзора) ежеквартально утверждаются министром труда и социального развития Новосибирской области и размещаются на официальном сайте министерства в разделе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«Деятельность/Контрольно-надзорная деятельность/ Проведение мероприятий по контролю без взаимодействия с юридическими лицами, индивидуальными предпринимателями».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Внеплановые КНМ не проводились, предостережения не объявлялись, в связи с от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сутствием нарушений у контролируемых лиц при проведении КНМ без взаимодействия.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В соответствии с Планом-графиком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проведения публичных мероприятий на 2024 год, утвержденным министром труда и социального развития Новосибирской области,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проведены публичные мероприятия 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темы: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«О проведении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рофилактических мероприятий, сроках (периодичности) их проведения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  <w:t xml:space="preserve">«О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б итогах контрольно-надзорной деятельности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в 202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 году»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государственного контроля (надзора) утвержден приказ министерства труда и социального развития Новосибирской области от 28.02.2022 № 161 «Об утверждении формы проверочного листа, используемой при осуществлении регионального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оздоровления», которым предусматривается установление формы проверочного лист</w:t>
      </w:r>
      <w:r>
        <w:rPr>
          <w:rFonts w:ascii="Times New Roman" w:hAnsi="Times New Roman" w:cs="Times New Roman"/>
          <w:sz w:val="28"/>
          <w:szCs w:val="28"/>
        </w:rPr>
        <w:t xml:space="preserve">а, применяемой при осуществлении регионального контроля (надзора), со списком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твержденный проверочный лист в электронном формате, допускающем его использование для самообследования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размещен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на официальном сайте министерства труда и социального развития Новосибирской области в 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«Деятельность/Контрольно-надзорная деятельность/Самообследование».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Дополнительно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 официальном сайте министерства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в разделе «Деятельность/Контрольно-надзорная деятельность/сведения о способах получения консультаций по соблюдению обязательных требований» размещены QR-коды для оформления заявки на консультацию и записи на профилактический визит.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 в 2024 году использовало в своей деятельности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ГИС ТОР КНД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внедрением ГИС ТОР КНД появилась возможность использовать интерактивные сервисы, в том числе новые формы каналов «Обратной связи» с контролируемыми лицами (ситуативные и общие электронные формы «обратной связи», электронные сервисы «электронная приемная», </w:t>
      </w:r>
      <w:r>
        <w:rPr>
          <w:rFonts w:ascii="Times New Roman" w:hAnsi="Times New Roman" w:cs="Times New Roman"/>
          <w:sz w:val="28"/>
          <w:szCs w:val="28"/>
        </w:rPr>
        <w:t xml:space="preserve">«личный кабинет» и, соответственно, возможность автоматического дифференцирования мер профилактики в отношении контролируемых лиц (получение индивидуальных консультаций по любым вопросам контрольной деятельности, возможность административного обжалования).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</w:t>
      </w:r>
      <w:r>
        <w:rPr>
          <w:rFonts w:ascii="Times New Roman" w:hAnsi="Times New Roman" w:cs="Times New Roman"/>
          <w:sz w:val="28"/>
          <w:szCs w:val="28"/>
        </w:rPr>
        <w:t xml:space="preserve"> ГИС ТОР КНД </w:t>
      </w:r>
      <w:r>
        <w:rPr>
          <w:rFonts w:ascii="Times New Roman" w:hAnsi="Times New Roman" w:cs="Times New Roman"/>
          <w:sz w:val="28"/>
          <w:szCs w:val="28"/>
        </w:rPr>
        <w:t xml:space="preserve">передача данных о проведенных профилактических визитах автоматически загружается в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 xml:space="preserve">«Единый реестр контрольных (надзорных) мероприятий»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ЕРКНМ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постановлению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861 контрольным органом внесены сведения в Единый реестр видов 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онтроля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(далее – ЕРВК), включающие: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вид регионального контроля (надзора);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сведения о контрольном органе, осуществляющем региональный контроль (надзор);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по вопросам осуществления регионального контроля (надзора) и соблюдения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профилактических мероприят</w:t>
      </w:r>
      <w:r>
        <w:rPr>
          <w:rFonts w:ascii="Times New Roman" w:hAnsi="Times New Roman" w:cs="Times New Roman"/>
          <w:sz w:val="28"/>
          <w:szCs w:val="28"/>
        </w:rPr>
        <w:t xml:space="preserve">иях, контрольных (надзорных) мероприятиях и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(надзорных) </w:t>
      </w:r>
      <w:r>
        <w:rPr>
          <w:rFonts w:ascii="Times New Roman" w:hAnsi="Times New Roman" w:cs="Times New Roman"/>
          <w:sz w:val="28"/>
          <w:szCs w:val="28"/>
        </w:rPr>
        <w:t xml:space="preserve">действиях, осуществляемых в рамках конкретных видов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(надзорных)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проведение которых возможно при осуществлении регионального контроля (надзора), о специальных режимах регионального контроля (надзора);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сведения о нормативных правовых актах в отношении регионального контроля (надзора);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сведения об объектах регионального контроля (надзора) отдельно по каждому виду регионального контроля (надзора) и категории риска.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определены должностные лица, ответственные за актуализацию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сайт</w:t>
      </w:r>
      <w:r>
        <w:rPr>
          <w:rFonts w:ascii="Times New Roman" w:hAnsi="Times New Roman" w:cs="Times New Roman"/>
          <w:sz w:val="28"/>
          <w:szCs w:val="28"/>
        </w:rPr>
        <w:t xml:space="preserve">а и внесение сведений в ЕРВК, в ЕРКНМ, в ГИС ТОР КНД.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Раздел 5.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Действия органов госуд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арственного контроля (надзора)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 пресечению нарушений обязательных требований и (или) устранению последствий таких нарушений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" w:name="_Hlk94499770"/>
      <w:r/>
      <w:bookmarkStart w:id="3" w:name="_Hlk9449926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недопущения, устранения выявленных нарушений обязательных требований законодательства </w:t>
      </w:r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организации отдыха и оздоровления детей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были проведены следующие мероприятия по профилактике нарушений обязательных требований законодательства </w:t>
      </w:r>
      <w:bookmarkStart w:id="4" w:name="_Hlk9450189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отдыха детей и их оздоровления</w:t>
      </w:r>
      <w:bookmarkEnd w:id="3"/>
      <w:r/>
      <w:bookmarkEnd w:id="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обеспечивалась своевременная информированность и доступность информации для контролируемых лиц об осуществлении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 (надзора) посредством актуализации в подразделе контрольно-надзорная деятельность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 об обязательных требованиях законодательства (нормативных правовых актах или их отдельных частей, содержащих обязательные требования, оценка соблюдения которых осуществлялась при осуществлении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 (надзора);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с руководителями контролируемых лиц проводились видеоконференции, совещания, в рамках которых: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обсуждались типичные нарушения, выявленные в ходе профилактических мероприятий и причины их возникновения;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осуществлялся обзор изменений действующего законодательства в сфере организации отдыха и оздоровления детей;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обсуждались актуальные вопросы и пути их решения;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направлялись профилактические письма в адрес контролируемых лиц по наиболее часто возникающим вопросам, а также о принятии необходимых мер по недопущению нарушений обязательных требований законодательства при организации отдыха и оздоровления детей;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 оказывались адресные консультации представителям контролируемых лиц по вопросам применения нормативных правовых актов, устанавливающих обязательные требования законодательства при организации отдыха и оздоровле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ния детей;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5) на постоянной основе в рамка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х заседаний межведомственной комиссии Новосибирской области по вопросам организации отдыха и оздоровления детей, до сведения контролируемых лиц доводилась информация об обязательных требованиях законодательства при организации отдыха и оздоровления детей,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 том числе внесенные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изменени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в нормативны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 рамках реализации медиа-плана,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осуществляемого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, проводились теле - и радиопередачи с участием руководства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 вопросу организации деятельности при организации отдыха и оздоровления детей и другим вопросам,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связанным с 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ализацией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№ 124-ФЗ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 подзаконными нормативными правовыми актами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, по итогам которых: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1)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актуализированы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 размещены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нормативные правовые акты, содержащие 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язательные требования, оценка соблюдения которых является предметом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(надзора)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осуществлено информирование контролируемых лиц по вопросам соблюдения обязательных требований законодательства в сфере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отдыха детей и их оздоровления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путем: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опубликов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соблюдению обязательных требований;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публичны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контролируемыми лицами, направленны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соблюдение положений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еречня актов, содержащих обязательные требования, соблюдение которых оценивается при проведении мероприятий при осуществлении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 контроля (надзора);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пров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разъяснительн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ходе систематического и постоянного взаимодействия с контролируемыми лицами в рамках основной деятельности по вопросам соблюдения требований законодательства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сфере организации отдыха детей и их оздоровления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осуществл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напр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авлени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рекомендательных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писем информационного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и предупредительного характера,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в адрес контролируемых лиц,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глав муниципальных образований Новосибирской области,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а 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акже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требовани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о проведении необходимых организационных мероприятий, напр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авленных на внедрение и обеспечение соблюдения 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Вместе с тем, в 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году проводились: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мероприятия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 (надзора), при проведении которых не требуется взаимодействие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контролируемыми лицами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мониторинг содержания в информационно-телекоммуникационной сети «Интернет» информации, содержащейся на официальных сайтах контролируемых лиц 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 отдыха детей и их оздоровления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мониторинг информации, содержащейся в реестре контролируемых лиц, размещенном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анализ информации, содержащейся в обращениях граждан, организаций, областных исполнительных органах Новосибирской области о деятельности либо действиях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бездействии) контролируемых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предмет наличия правовых оснований для проведения внеплановых проверок контролируемых лиц.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 в рамках ме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ханизма досудебного обжалования,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заявлений контролируемых лиц, информации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областных исполнительных органов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, органов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естного самоуправления, средств массовой информации о фактах нарушений в сфере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отдыха детей и их оздоровления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поступало.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Раздел 6.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Анализ и оценка эффективности государственного контроля (надзора)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 с постановле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нием Правительства Новосибирской области от 28.09.2017 № 370-п «Об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рственного контроля (надзора)»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результативности и эффективности осуществления контроля в сфере организац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ии отдыха и оздоровления детей.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осуществления государственного контроля (надзора) в 2024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сформирован реестр категорированных объектов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которые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есены к категории низкого риска.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соответствии с частью 5 статьи 25 Федерального закона 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248-ФЗ и пунктом 17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оложения в отношении объектов государственного контроля (надзора), которые отнесены к категории низкого риска, плановые контрольные (надзорные) мероприятия не проводятся, в связи с чем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проект ежегодного плана КНМ в 2024 году не формировался и не направлялся на согласование в прокуратуру Новосибирской области,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плановые и внеплановые проверки, в отношении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контролируемых лиц, не проводились.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контролируемых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осуществлялись профилактические мероприятия, в соответствии с программой профилактики,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направленных на предотвращение, пресечение и недопущение нарушений обязательных требований законодательства при организации отдыха и оздоровления детей в 2024 году в отношении контролируемых лиц нарушений не выявлено.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Проблем при осуществлении регионального государственного контроля (надзора) в 2024  году не возникало.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Раздел 7.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Выводы и предложения по результатам государственного контроля (надзора)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связи с отсутствием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плана КНМ на 2024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контролируемых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осуществлялись профилактические мероприятия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осуществления профилактических мероприятий, в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оответствии с программой профилактики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Проводилась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методическая, разъяснительная и профилактическая работа, направленная на предотвращение, пресечение и недопущение нарушений обязательных требований законодательства при организации отдыха и оздоровления детей.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осуществления профилактических мероприятий, в соответствии с программой профилактики, направленных на предотвращение, пресечение и недопущение нарушений обязательных требований законодательства при организации отдыха и оздоровления детей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контролируемых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нарушений не выявлено.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чем в 2024 году в отношении контролируемых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будут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продолжены профилактические мероприятия, а также методическая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разъяснительная работа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профилактике нарушений 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Состояние нормативной правовой базы по вопросам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регулирования государственного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(надзора) в 2024 году было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достаточным для осуществления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КНМ и профилактических мероприятий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деятельности устаревших, дублирующих и избыточных обязательных требований не выявлено. Предложения по совершенствованию законодательства по профилактике нарушений обязательных требований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сфере организации отдыха детей и их оздоровлени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отсутствуют.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pStyle w:val="867"/>
        <w:ind w:left="0" w:right="0" w:firstLine="540"/>
        <w:jc w:val="both"/>
        <w:spacing w:before="20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  <w:r>
        <w:rPr>
          <w:rFonts w:ascii="Arial" w:hAnsi="Arial" w:eastAsia="Arial" w:cs="Arial"/>
          <w:b w:val="0"/>
          <w:bCs w:val="0"/>
          <w:i w:val="0"/>
          <w:strike w:val="0"/>
          <w:color w:val="auto"/>
          <w:sz w:val="20"/>
          <w:szCs w:val="20"/>
          <w:highlight w:val="none"/>
          <w:lang w:val="ru-RU" w:bidi="zh-CN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709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2272739"/>
      <w:docPartObj>
        <w:docPartGallery w:val="Page Numbers (Top of Page)"/>
        <w:docPartUnique w:val="true"/>
      </w:docPartObj>
      <w:rPr/>
    </w:sdtPr>
    <w:sdtContent>
      <w:p>
        <w:pPr>
          <w:pStyle w:val="86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1</w:t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62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2"/>
    <w:uiPriority w:val="99"/>
  </w:style>
  <w:style w:type="character" w:styleId="712">
    <w:name w:val="Footer Char"/>
    <w:basedOn w:val="859"/>
    <w:link w:val="868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8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Header"/>
    <w:basedOn w:val="858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9"/>
    <w:link w:val="862"/>
    <w:uiPriority w:val="99"/>
  </w:style>
  <w:style w:type="table" w:styleId="864">
    <w:name w:val="Table Grid"/>
    <w:basedOn w:val="86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5">
    <w:name w:val="Balloon Text"/>
    <w:basedOn w:val="858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59"/>
    <w:link w:val="865"/>
    <w:uiPriority w:val="99"/>
    <w:semiHidden/>
    <w:rPr>
      <w:rFonts w:ascii="Tahoma" w:hAnsi="Tahoma" w:cs="Tahoma"/>
      <w:sz w:val="16"/>
      <w:szCs w:val="16"/>
    </w:rPr>
  </w:style>
  <w:style w:type="paragraph" w:styleId="86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8">
    <w:name w:val="Footer"/>
    <w:basedOn w:val="858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9"/>
    <w:link w:val="868"/>
    <w:uiPriority w:val="99"/>
  </w:style>
  <w:style w:type="paragraph" w:styleId="870">
    <w:name w:val="List Paragraph"/>
    <w:basedOn w:val="858"/>
    <w:uiPriority w:val="34"/>
    <w:qFormat/>
    <w:pPr>
      <w:contextualSpacing/>
      <w:ind w:left="720"/>
    </w:pPr>
  </w:style>
  <w:style w:type="paragraph" w:styleId="1_261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zh-C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E0C1A6EF60EBA1D6D363CDA0A89FB7B123F3077E015DDA521465D20813A05BE8B853A49227B2823BD919929748F2755362D59762237AB15BcBLCG" TargetMode="External"/><Relationship Id="rId12" Type="http://schemas.openxmlformats.org/officeDocument/2006/relationships/hyperlink" Target="consultantplus://offline/ref=E0C1A6EF60EBA1D6D363D3ADBEF3E9B829F050760058D2054D31D45F4CF05DBDF813A2C764F68A39D112C7C70AAC2C032F9E9A623466B158A0D9C552c1L6G" TargetMode="External"/><Relationship Id="rId13" Type="http://schemas.openxmlformats.org/officeDocument/2006/relationships/hyperlink" Target="https://login.consultant.ru/link/?req=doc&amp;base=RLAW049&amp;n=173124&amp;dst=1000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A68F-91A6-4307-99E9-63DC71A7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revision>94</cp:revision>
  <dcterms:created xsi:type="dcterms:W3CDTF">2023-02-21T06:43:00Z</dcterms:created>
  <dcterms:modified xsi:type="dcterms:W3CDTF">2025-02-24T09:59:44Z</dcterms:modified>
</cp:coreProperties>
</file>