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1008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3420"/>
        <w:gridCol w:w="236"/>
        <w:gridCol w:w="3544"/>
      </w:tblGrid>
      <w:tr>
        <w:tblPrEx/>
        <w:trPr>
          <w:jc w:val="center"/>
        </w:trPr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0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22605" cy="553085"/>
                      <wp:effectExtent l="19050" t="0" r="0" b="0"/>
                      <wp:docPr id="1" name="Рисунок 1" descr="embl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5671206" name="Рисунок 1" descr="emble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522604" cy="5530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.15pt;height:43.55pt;mso-wrap-distance-left:0.00pt;mso-wrap-distance-top:0.00pt;mso-wrap-distance-right:0.00pt;mso-wrap-distance-bottom:0.00pt;" stroked="f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МИНИСТЕРСТВО ТРУДА И СОЦИАЛЬНОГО РАЗВИТИЯ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ind w:right="-108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НОВОСИБИРСКОЙ ОБЛАСТИ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ПРИКАЗ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spacing w:after="0" w:line="240" w:lineRule="auto"/>
              <w:tabs>
                <w:tab w:val="left" w:pos="4095" w:leader="none"/>
              </w:tabs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88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4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      № 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  <w:trHeight w:val="347"/>
        </w:trPr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08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г. Новосибирск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</w:tbl>
    <w:p>
      <w:pPr>
        <w:jc w:val="center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 утверждении доклада, содержащего результаты обобщения правоприменительной практики</w:t>
      </w:r>
      <w:r>
        <w:rPr>
          <w:rFonts w:ascii="Times New Roman" w:hAnsi="Times New Roman" w:eastAsia="Calibri" w:cs="Times New Roman"/>
          <w:sz w:val="28"/>
          <w:szCs w:val="28"/>
        </w:rPr>
        <w:t xml:space="preserve"> министерства труда и 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социального развития Новосибирской области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при осуществлении регионального государственного контроля (надзора) в сфере социального обслуживания по итогам 2024 года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tLeast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 соответствии с частью</w:t>
      </w:r>
      <w:hyperlink r:id="rId13" w:tooltip="consultantplus://offline/ref=E0C1A6EF60EBA1D6D363CDA0A89FB7B123F3077E015DDA521465D20813A05BE8B853A49227B2823BD919929748F2755362D59762237AB15BcBLCG" w:history="1">
        <w:r>
          <w:rPr>
            <w:rFonts w:ascii="Times New Roman" w:hAnsi="Times New Roman" w:eastAsia="Calibri" w:cs="Times New Roman"/>
            <w:sz w:val="28"/>
            <w:szCs w:val="28"/>
          </w:rPr>
          <w:t xml:space="preserve"> 4 стат</w:t>
        </w:r>
        <w:r>
          <w:rPr>
            <w:rFonts w:ascii="Times New Roman" w:hAnsi="Times New Roman" w:eastAsia="Calibri" w:cs="Times New Roman"/>
            <w:sz w:val="28"/>
            <w:szCs w:val="28"/>
          </w:rPr>
          <w:t xml:space="preserve">ьи 47</w:t>
        </w:r>
      </w:hyperlink>
      <w:r>
        <w:rPr>
          <w:rFonts w:ascii="Times New Roman" w:hAnsi="Times New Roman" w:eastAsia="Calibri" w:cs="Times New Roman"/>
          <w:sz w:val="28"/>
          <w:szCs w:val="28"/>
        </w:rPr>
        <w:t xml:space="preserve"> Федерального закона от 31.07.2020 № 248-ФЗ «О  государственном контроле (надзоре) и муниципальном контроле в Российской Федерации», </w:t>
      </w:r>
      <w:hyperlink r:id="rId14" w:tooltip="consultantplus://offline/ref=E0C1A6EF60EBA1D6D363D3ADBEF3E9B829F050760058D2054D31D45F4CF05DBDF813A2C764F68A39D112C7C70AAC2C032F9E9A623466B158A0D9C552c1L6G" w:history="1">
        <w:r>
          <w:rPr>
            <w:rFonts w:ascii="Times New Roman" w:hAnsi="Times New Roman" w:eastAsia="Calibri" w:cs="Times New Roman"/>
            <w:sz w:val="28"/>
            <w:szCs w:val="28"/>
          </w:rPr>
          <w:t xml:space="preserve">пунктом 22</w:t>
        </w:r>
      </w:hyperlink>
      <w:r>
        <w:rPr>
          <w:rFonts w:ascii="Times New Roman" w:hAnsi="Times New Roman" w:eastAsia="Calibri" w:cs="Times New Roman"/>
          <w:sz w:val="28"/>
          <w:szCs w:val="28"/>
        </w:rPr>
        <w:t xml:space="preserve">  Положения </w:t>
      </w:r>
      <w:r>
        <w:rPr>
          <w:rFonts w:ascii="Times New Roman" w:hAnsi="Times New Roman" w:eastAsia="Calibri" w:cs="Times New Roman"/>
          <w:sz w:val="28"/>
          <w:szCs w:val="28"/>
        </w:rPr>
        <w:t xml:space="preserve">о региональном государственном контроле (надзоре) в сфере социального обслуживания, утвержденного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постановлением Правительства Новос</w:t>
      </w:r>
      <w:r>
        <w:rPr>
          <w:rFonts w:ascii="Times New Roman" w:hAnsi="Times New Roman" w:eastAsia="Calibri" w:cs="Times New Roman"/>
          <w:sz w:val="28"/>
          <w:szCs w:val="28"/>
        </w:rPr>
        <w:t xml:space="preserve">ибирской области от 20.09.2021 № 363-п «Об утверждении Положения о региональном государственном контроле (надзоре) в сфере социального обслуживания»,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ПРИКАЗЫВАЮ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1. Утвердить доклад, содержащий результаты обобщения правоприменительной практики</w:t>
      </w:r>
      <w:r>
        <w:rPr>
          <w:rFonts w:ascii="Times New Roman" w:hAnsi="Times New Roman" w:eastAsia="Calibri" w:cs="Times New Roman"/>
          <w:sz w:val="28"/>
          <w:szCs w:val="28"/>
        </w:rPr>
        <w:t xml:space="preserve"> министерств</w:t>
      </w:r>
      <w:r>
        <w:rPr>
          <w:rFonts w:ascii="Times New Roman" w:hAnsi="Times New Roman" w:eastAsia="Calibri" w:cs="Times New Roman"/>
          <w:sz w:val="28"/>
          <w:szCs w:val="28"/>
        </w:rPr>
        <w:t xml:space="preserve">а труда и социального развития Новосибирской области при осуществлении регионального государственного контроля (надзора) в сфере социального обслуживания по итогам 2024 года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2. 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онтроль за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исполнением приказа оставляю за собой.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Министр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  <w:t xml:space="preserve">    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  <w:t xml:space="preserve">                 Е.В.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Бахарева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6237" w:hanging="141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6237" w:hanging="141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6237" w:hanging="141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6237" w:hanging="141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6237" w:hanging="141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pStyle w:val="645"/>
        <w:ind w:left="6237" w:hanging="141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-385445</wp:posOffset>
                </wp:positionV>
                <wp:extent cx="690245" cy="318770"/>
                <wp:effectExtent l="6350" t="6350" r="6350" b="6350"/>
                <wp:wrapNone/>
                <wp:docPr id="2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89760" cy="318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miter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" type="#_x0000_t1" style="position:absolute;z-index:2;o:allowoverlap:true;o:allowincell:true;mso-position-horizontal-relative:text;margin-left:217.20pt;mso-position-horizontal:absolute;mso-position-vertical-relative:text;margin-top:-30.35pt;mso-position-vertical:absolute;width:54.35pt;height:25.10pt;mso-wrap-distance-left:0.00pt;mso-wrap-distance-top:0.00pt;mso-wrap-distance-right:0.00pt;mso-wrap-distance-bottom:0.00pt;visibility:visible;" fillcolor="#FFFFFF" strokecolor="#FFFFFF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УТВЕРЖДЕН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pStyle w:val="645"/>
        <w:ind w:left="6237" w:hanging="141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приказом министерства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left="6237" w:hanging="141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труда и социального развития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left="6237" w:hanging="141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Новосибирской области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left="6237" w:hanging="141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 ____________ № ________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jc w:val="right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ДОКЛАД,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содержащий результаты обобщения правоприменительной практики</w:t>
      </w:r>
      <w:r>
        <w:rPr>
          <w:rFonts w:ascii="Times New Roman" w:hAnsi="Times New Roman" w:eastAsia="Calibri" w:cs="Times New Roman"/>
          <w:b w:val="0"/>
          <w:bCs w:val="0"/>
          <w:sz w:val="28"/>
          <w:szCs w:val="28"/>
        </w:rPr>
        <w:t xml:space="preserve"> министерства труда и социального развития Новосибирской области при осуществлении регионального государственного контроля (надзора) в сфере социального обслуживания по итогам 2024 года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Раздел 1. Состояние нормативно-правового регулирования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в соответствующей сфере деятельности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8"/>
        <w:jc w:val="both"/>
        <w:spacing w:before="0"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 течение 2024 года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полномочия по осуществлению регионального государственного контроля (надзора) в сфере социального обслуживания (далее – государственный контроль (надзор)) осуществляло министерство труда и социального развития Новосибирской области (далее – министерство). 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Перечень актов, содержащих обязательные требования, соблюдение которых оценивается при проведении мероприятий по контролю при осуществлении го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сударственного контроля (надзора) (далее – Перечень актов) размещен на официальном сайте контрольного органа в специально созданном отдельном подразделе «Обязательные требования» (далее – подраздел) раздела «Деятельность/Контрольно-надзорная деятельность».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left="0" w:right="0"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Созданный подраздел содержит перечень нормативных правовых актов с указанием структурных единиц э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тих актов, содержащих обязательные требования, оценка соблюдения которых является предметом контроля, а также информацию о мерах ответственности, применяемых при нарушении обязательных требований, с текстами в действующей редакции (далее – Перечень актов).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подразделе реализован механизм обратной связи, позволяющий направить обращения, связанные с содержанием, ведением и применением Перечня актов.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Перечень актов, актуализированных в формате, доступном для скачивания и пригодном для обраб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отки в текстовых редакторах, со ссылками на тексты и активными гиперссылками размещен в подразделе. Открытие гиперссылки позволяет получить доступ к полному тексту соответствующего нормативного правового акта для просмотра в форматах, доступных для скачива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ния и  пригодных для обработки в текстовых редакторах. Все нормативные правовые акты, включенные в Перечень актов, поддерживаются в актуальном состоянии. При внесении изменений нормативные правовые акты, включенные в Перечень актов, оперативно обновляются.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Перечень актов размещен также на официальном сайте Правительства Новосибирской области (http://www.nso.ru), в сетевом издании «Официальный интернат-портал правовой информации Новосибирской области» (</w:t>
      </w:r>
      <w:hyperlink r:id="rId15" w:tooltip="http://www.nsopravo.ru/" w:history="1">
        <w:r>
          <w:rPr>
            <w:rFonts w:ascii="Times New Roman" w:hAnsi="Times New Roman" w:eastAsia="Times New Roman" w:cs="Times New Roman"/>
            <w:sz w:val="28"/>
            <w:szCs w:val="28"/>
            <w:lang w:eastAsia="ru-RU"/>
          </w:rPr>
          <w:t xml:space="preserve">http://www.nsopravo.ru</w:t>
        </w:r>
      </w:hyperlink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left="0" w:right="0"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разделе «Деятельность / Контрольно-надзорная деятельность / Обязательные требования» размещено </w:t>
      </w:r>
      <w:hyperlink w:tooltip="#P31" w:anchor="P31" w:history="1">
        <w:r>
          <w:rPr>
            <w:rFonts w:ascii="Times New Roman" w:hAnsi="Times New Roman" w:eastAsia="Times New Roman" w:cs="Times New Roman"/>
            <w:sz w:val="28"/>
            <w:szCs w:val="28"/>
            <w:lang w:eastAsia="ru-RU"/>
          </w:rPr>
          <w:t xml:space="preserve">Руководство</w:t>
        </w:r>
      </w:hyperlink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 соблюдению обязательных требований в сфере социального обслуживания (далее – Руководство), утвержденное приказом Министерства труда и социальной защиты Российской Федерации,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Федеральной службой по труду и занятости от 20.04.2022 №  101 «Об утверждении руководств по соблюдению обязательных требований в сфере социального обслуживания и оказания гражданам государственной социальной помощи в виде предоставления социальных услуг».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Данное Руководство разработано с целью предотвращения нарушений законодательства в сфере социального обслуживания и содержит рекомендации по соблюдению обязательных требований, касающихся ведения документации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поставщиками социальных услуг из числа негосударственных (коммерческих и некоммерческих) организаций социального обслуживания и индивидуальных предпринимателей, осуществляющих социальное обслуживание в сфере социального обслуживания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 (далее – контролируемые лица), размещения и обновления информации о к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онтролируемом лице, в том числе на официальном сайте контролируемого лица в информационно-телекоммуникационной сети «Интернет», порядка организации деятельности контролируемых лиц, а также организации предоставления социальных услуг контролируемыми лицами.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645"/>
        <w:ind w:firstLine="709"/>
        <w:jc w:val="both"/>
        <w:spacing w:before="0"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 исполнение постановления Губернатора Новосибирской области от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28.07.2022 № 136 «О Порядке установления и оценки применения обязательных требований, содержащихся в нормативных правовых актах Новосибирской области, в том числе оценки фактического воздействия указанных нормативных правовых актов Новосибирской области»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(далее – постановление № 136),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сформирован </w:t>
      </w:r>
      <w:hyperlink r:id="rId16" w:tooltip="http://mtsr.nso.ru/sites/mtsr.nso.ru/wodby_files/files/page_8239/reestr_obyazat_trebovaniy.xlsx" w:history="1">
        <w:r>
          <w:rPr>
            <w:rFonts w:ascii="Times New Roman" w:hAnsi="Times New Roman" w:eastAsia="Times New Roman" w:cs="Times New Roman"/>
            <w:sz w:val="28"/>
            <w:szCs w:val="28"/>
            <w:lang w:eastAsia="ru-RU"/>
          </w:rPr>
          <w:t xml:space="preserve">Реестр обязательных требований контрольного органа, осуществляющего нормативное правовое регулирован</w:t>
        </w:r>
        <w:r>
          <w:rPr>
            <w:rFonts w:ascii="Times New Roman" w:hAnsi="Times New Roman" w:eastAsia="Times New Roman" w:cs="Times New Roman"/>
            <w:sz w:val="28"/>
            <w:szCs w:val="28"/>
            <w:lang w:eastAsia="ru-RU"/>
          </w:rPr>
          <w:t xml:space="preserve">ие в сферах труда, занятости населения, социальной защиты населения, социального обслуживания граждан в Новосибирской области, опеки и попечительства, отдыха и оздоровления отдельных категорий граждан, в том числе детей, на территории Новосибирской области</w:t>
        </w:r>
      </w:hyperlink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(далее – Реестр обязательных требований).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8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Реестр обязательных требований размещен в разделе «Деятельность/Контрольно-надзорная деятельность/Обязательные требования».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официальном сайте контрольного органа: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 в разделе «Деятельность/Контрольно-надзорная деятельность/Положения о видах регионального государственного контроля» размещено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Положение о региональном государственном контроле (надзоре) в сфере социального обслуживания, утвержденное </w:t>
      </w:r>
      <w:hyperlink r:id="rId17" w:tooltip="http://mtsr.nso.ru/sites/mtsr.nso.ru/wodby_files/files/page_8306/postanovlenie.pdf" w:history="1">
        <w:r>
          <w:rPr>
            <w:rFonts w:ascii="Times New Roman" w:hAnsi="Times New Roman" w:eastAsia="Times New Roman" w:cs="Times New Roman"/>
            <w:sz w:val="28"/>
            <w:szCs w:val="28"/>
            <w:lang w:eastAsia="ru-RU"/>
          </w:rPr>
          <w:t xml:space="preserve">постановлением Правительства Новосибирской области от 20.09.2021 </w:t>
        </w:r>
      </w:hyperlink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№ 363-п «Об утверждении Положения о региональном государственном контроле (надзоре) в сфере социального обслуживания» (далее – постановление № 363-п);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 в разделе «Деятельность/Контрольно-надзорная деятельность/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Сведения о способах получения консультаций по соблюдению обязательных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требований» размещены сведения о способах получения консультаций по вопросам соблюдения обязательных требований при осуществлении регионального контроля (надзора).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В 2024 году в региональные нормативные правовые акты, включенные в Перечень актов, внесены следующие изменения: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- приказом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eastAsia="en-US"/>
        </w:rPr>
        <w:t xml:space="preserve">министерства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от 29.07.2024 № 1714-НПА «О внесении изменений в приказ министерства труда и социального развития Новосибирской области от 25.02.2022 № 156» внесены изм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енения в приказ министерства труда и социального развития Новосибирской области от 25.02.2022 № 156 «Об утверждении форм проверочных листов, используемых при осуществлении регионального государственного контроля (надзора) в сфере социального обслуживания»;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645"/>
        <w:ind w:left="0" w:right="0" w:firstLine="708"/>
        <w:jc w:val="both"/>
        <w:spacing w:before="0" w:after="0" w:line="240" w:lineRule="auto"/>
        <w:shd w:val="clear" w:color="ffffff" w:fill="ffffff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- приказом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eastAsia="en-US"/>
        </w:rPr>
        <w:t xml:space="preserve">министерства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от 13.08.2024 № 1821-НПА «О внесении изменений в приказ министерства социального развития Нов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осибирской области от 31.10.2014 № 1288» внесены изменения в приказ министерства социального развития Новосибирской области от 31.10.2014 № 1288 «Об утверждении Порядка предоставления социальных услуг поставщиками социальных услуг в Новосибирской области»;</w:t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645"/>
        <w:ind w:left="0" w:right="0" w:firstLine="708"/>
        <w:jc w:val="both"/>
        <w:spacing w:before="0" w:after="0" w:line="240" w:lineRule="auto"/>
        <w:shd w:val="clear" w:color="ffffff" w:fill="ffffff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eastAsia="en-US"/>
        </w:rPr>
        <w:t xml:space="preserve">- приказами министерства «О внесении изменений в приказ министерства социального развития Новосибирской области от 23.12.2014 № 1446» (от 14.05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eastAsia="en-US"/>
        </w:rPr>
        <w:t xml:space="preserve">.2024 № 952-НПА, от 19.08.2024 № 1841-НПА, от 30.08.2024 № 1939-НПА, от 23.09.2024 № 2111-НПА, от 08.10.2024 № 2236-НПА, от 30.10.2024 № 2360-НПА, от 08.11.2024 № 2425-НПА) внесены изменения в приказ министерства социального развития Новосибирской области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от 23.12.2014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en-US"/>
        </w:rPr>
        <w:t xml:space="preserve"> № 1446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«Об утверждении Стандартов социальных услуг, предоставляемых поставщиками социальных услуг».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pStyle w:val="645"/>
        <w:ind w:left="0" w:right="0" w:firstLine="708"/>
        <w:jc w:val="both"/>
        <w:spacing w:before="0" w:after="0" w:line="240" w:lineRule="auto"/>
        <w:shd w:val="clear" w:color="ffffff" w:fill="ffffff"/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</w:p>
    <w:p>
      <w:pPr>
        <w:pStyle w:val="645"/>
        <w:numPr>
          <w:ilvl w:val="0"/>
          <w:numId w:val="0"/>
        </w:numPr>
        <w:ind w:left="0" w:firstLine="709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outlineLvl w:val="1"/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Раздел 2. Организация государственного контроля (надзора)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numPr>
          <w:ilvl w:val="0"/>
          <w:numId w:val="0"/>
        </w:numPr>
        <w:ind w:left="0" w:firstLine="709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outlineLvl w:val="1"/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widowControl w:val="off"/>
        <w:tabs>
          <w:tab w:val="clear" w:pos="708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Предметом государственного контроля (надзора) является соблюдение контролируемыми лицами требований Федерального закона от 28.12.2013                № 442-ФЗ «Об основах социального обслужи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вания граждан в Российской Федерации», других федеральных законов и иных нормативных правовых актов Российской Федерации, а также законов и иных нормативных правовых актов Новосибирской области, регулирующих правоотношения в сфере социального обслуживания.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645"/>
        <w:ind w:firstLine="709"/>
        <w:jc w:val="both"/>
        <w:spacing w:before="0" w:after="0" w:line="240" w:lineRule="auto"/>
        <w:widowControl w:val="off"/>
        <w:tabs>
          <w:tab w:val="clear" w:pos="708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Посредством осуществлен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ия государственного контроля (надзора) обеспечивается соблюдение требований Федерального закона от 24.11.1995 № 181-ФЗ «О социальной защите инвалидов в Российской Федерации», других федеральных законов и иных нормативных правовых актов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законов и иных нормативных правовых актов Новосибирской области, изданных в целях обеспечения доступности для инвалидов объектов социальной, инженерной и транспортной инфраструктур и предоставляемых услуг, а также оказания им при этом необходимой помощи.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widowControl w:val="off"/>
        <w:tabs>
          <w:tab w:val="clear" w:pos="708" w:leader="none"/>
          <w:tab w:val="left" w:pos="851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Министерство осуществляет государственный контроль (надзор) в отношении контролируемых лиц.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Информация о проведении проверк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и, об уведомлении контролируемого лица о проведении проверки, о результатах проверки и мерах, принятых по результатам проверки размещается в государственной информационной системе «Типовое облачное решение по автоматизации контрольной (надзорной) деятельно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сти» (далее – ГИС ТОР КНД) и в федеральной государственной информационной системе «Единый реестр проверок» (https://proverki.gov.ru) в соответствии с требованиями, установленными постановлением Правительства Российской Федерации от 28.04.2015 № 415 «О Прав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илах формирования и ведения единого реестра проверок», а также на официальном сайте контрольного органа в разделе «Деятельность/Контрольно-надзорная деятельность/Результаты проверок в рамках осуществления регионального государственного контроля (надзора)».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В соответствии с постановлением Правительства Российской Федерации    от 31.12.2020 № 2428 «О порядке ф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ормирования плана проведения плановых контрольных (надзорных) мероприятий на очередной календарный год, его согласования с органами прокуратуры, включения в него и исключения из него контрольных (надзорных) мероприятий в течение года» в 2024 году контрольн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ым органом в прокуратуру Новосибирской области направлялся на согласование проект ежегодного плана проведения плановых контрольных (надзорных) мероприятий на 2024 год (далее – план КНМ), сформированный в машиночитаемом формате с использованием ГИС ТОР КНД.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В соответствии с Перечнем поручений по итогам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val="en-US" w:eastAsia="ru-RU"/>
        </w:rPr>
        <w:t xml:space="preserve">XXV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 Петербургского международного экономического форума, утвержденным Президентом Российской Федерации от 20.07.2022 № Пр-1269, в план КНМ включены объекты, отнесенные к высокому риску.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Критерии отнесения объектов регионального контроля (надзора) к категориям риска в рамках осуществления регионального контроля (надзора) определены в постановление № 363-п.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формировании ежегодных планов проведения плановых проверок контролируемых лиц в обязательном порядке предусматривается проведение мероприятий по осуществлению контроля за обеспечением доступности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инвалидов объектов и услуг, подлежащих проверке в отчетном периоде, с целью своевременного выявления и пресечения нарушений в сфере обеспечения доступности объектов социального обслуживания и социальных услуг для маломобильных групп населения и инвалидов.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Раздел 3. Финансовое и кадровое обеспечение государственного контроля (надзора)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ind w:firstLine="708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Перечень должностных лиц министерства, уполномоченных осуществлять государственный контроль (надзор), утвержден постановлением № 363-п.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8"/>
        <w:jc w:val="both"/>
        <w:spacing w:before="0"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Количество штатных единиц по должностям, предусматривающим выполнение функций по контролю (надзору) в сфере социального обслуживания, составило 13 единиц.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645"/>
        <w:ind w:firstLine="708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Обеспечение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деятельности по осуществлению государственного контроля (надзора) в отчетном периоде осуществлялось за счет средств областного бюджета Новосибирской области, выделенных на содержание министерства в пределах утвержденных бюджетных ассигнований на 2024 год.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 сотрудники имеют высшее образование,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стаж государственной гражданской службы более 3 лет.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645"/>
        <w:ind w:firstLine="708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Получение дополнительного профессионального образования, профессиональная переподготовка, повышение квалификации, участие в обучающих семинарах, лекциях, практикумах осуществляются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для государственных гражданских служащих министерства в соответствии с индивидуальным планом профессионального развития государственного гражданского служащего на соответствующий период и на базе соответствующих организаций (в том числе образовательных).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8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В 2024 году повышение квалификации сотрудники министерства,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осуществляющие деятельность по выполнению контрольно-надзорных функций, в сфере контроля не проходили.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8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Юридические и физические лица в качестве экспертных организаций и экспертов при проведении проверок в 2024 году не привлекались.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8"/>
        <w:jc w:val="center"/>
        <w:spacing w:before="0"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645"/>
        <w:ind w:firstLine="708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Раздел 4. Проведение государственного контроля (надзора)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ind w:firstLine="708"/>
        <w:jc w:val="center"/>
        <w:spacing w:before="0"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645"/>
        <w:ind w:left="0" w:right="0" w:firstLine="708"/>
        <w:jc w:val="both"/>
        <w:spacing w:before="0" w:after="0"/>
        <w:shd w:val="clear" w:color="ffffff" w:fill="ffffff"/>
        <w:rPr>
          <w:rFonts w:ascii="Times New Roman" w:hAnsi="Times New Roman" w:eastAsia="Times New Roman" w:cs="Times New Roman"/>
          <w:color w:val="212121"/>
          <w:sz w:val="28"/>
          <w:szCs w:val="28"/>
        </w:rPr>
      </w:pP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В соответствии с постановлением </w:t>
      </w:r>
      <w:r>
        <w:rPr>
          <w:rFonts w:eastAsia="Calibri" w:cs="Calibri"/>
          <w:color w:val="000000" w:themeColor="text1"/>
          <w:sz w:val="22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Правительства Российской Федерации от 10.03.2022 № 336 «Об особенностях организации и осуществления государственного контроля (надзора), муниципального контроля» (далее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постановление № 336) 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введен мораторий на плановые контрольные (надзорные) мероприятия и проверки в 2024 году, за исключением отдельных                     объектов контроля чрезвычайно высокого риска, и опасных производственных объектов по некоторым видам контроля (над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зора). Кроме того, введены ограничения на проведение внеплановых контрольных (надзорных) мероприятий и проверок, в том числе постановлением № 336 установлена необходимость их согласования с органами прокуратуры. Все запланированные контрольные (надзорные) </w:t>
      </w:r>
      <w:r>
        <w:rPr>
          <w:rFonts w:ascii="Times New Roman" w:hAnsi="Times New Roman" w:eastAsia="Calibri" w:cs="Times New Roman"/>
          <w:sz w:val="28"/>
          <w:szCs w:val="28"/>
        </w:rPr>
        <w:t xml:space="preserve">мероприятия отменены, а осуществляемые в настоящее время подлежали завершению в порядке и в сроки, установленные пунктами 5, 6, 7 постановления № 336.</w:t>
      </w:r>
      <w:r>
        <w:rPr>
          <w:rFonts w:ascii="Times New Roman" w:hAnsi="Times New Roman" w:eastAsia="Times New Roman" w:cs="Times New Roman"/>
          <w:color w:val="212121"/>
          <w:sz w:val="28"/>
          <w:szCs w:val="28"/>
        </w:rPr>
      </w:r>
    </w:p>
    <w:p>
      <w:pPr>
        <w:pStyle w:val="645"/>
        <w:ind w:firstLine="708"/>
        <w:jc w:val="both"/>
        <w:spacing w:before="0"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На основании постановления № 336 при осуществлении регионального контроля (надзора) внеплановые проверки в 2024 году не проводил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ись. </w:t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645"/>
        <w:ind w:firstLine="708"/>
        <w:jc w:val="both"/>
        <w:spacing w:before="0" w:after="0" w:line="240" w:lineRule="auto"/>
        <w:rPr>
          <w:rFonts w:ascii="Times New Roman" w:hAnsi="Times New Roman" w:eastAsia="Calibri" w:cs="Times New Roman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На официально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м сайте контрольного органа в разделе «Деятельность/Контрольно-надзорная деятельность/Мораторий 2022-2023» даны разъяснения для контролируемых лиц по вопросам организации и осуществления контрольной (надзорной) деятельности с учетом положений постановления</w:t>
      </w:r>
      <w:r>
        <w:rPr>
          <w:rFonts w:ascii="Times New Roman" w:hAnsi="Times New Roman" w:eastAsia="Calibri" w:cs="Times New Roman"/>
          <w:sz w:val="28"/>
          <w:szCs w:val="28"/>
          <w:highlight w:val="white"/>
        </w:rPr>
        <w:t xml:space="preserve"> № 336.</w:t>
      </w:r>
      <w:r>
        <w:rPr>
          <w:rFonts w:ascii="Times New Roman" w:hAnsi="Times New Roman" w:eastAsia="Calibri" w:cs="Times New Roman"/>
          <w:sz w:val="28"/>
          <w:szCs w:val="28"/>
          <w:highlight w:val="yellow"/>
        </w:rPr>
      </w:r>
    </w:p>
    <w:p>
      <w:pPr>
        <w:pStyle w:val="645"/>
        <w:ind w:firstLine="708"/>
        <w:jc w:val="both"/>
        <w:spacing w:before="0" w:after="0" w:line="240" w:lineRule="auto"/>
        <w:shd w:val="clear" w:color="ffffff" w:themeColor="background1" w:fill="ffffff" w:themeFill="background1"/>
        <w:rPr>
          <w:rFonts w:ascii="Times New Roman" w:hAnsi="Times New Roman" w:eastAsia="Calibri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Calibri" w:cs="Times New Roman"/>
          <w:sz w:val="28"/>
          <w:szCs w:val="28"/>
          <w:highlight w:val="white"/>
        </w:rPr>
        <w:t xml:space="preserve">В 2024 году в ходе</w:t>
      </w:r>
      <w:r>
        <w:rPr>
          <w:rFonts w:ascii="Times New Roman" w:hAnsi="Times New Roman" w:eastAsia="Calibri" w:cs="Times New Roman" w:eastAsiaTheme="minorHAnsi"/>
          <w:color w:val="auto"/>
          <w:sz w:val="28"/>
          <w:szCs w:val="28"/>
          <w:highlight w:val="white"/>
          <w:lang w:val="ru-RU" w:eastAsia="en-US" w:bidi="ar-SA"/>
        </w:rPr>
        <w:t xml:space="preserve"> контрольно-надзорной деятельности проведены </w:t>
      </w:r>
      <w:r>
        <w:rPr>
          <w:rFonts w:ascii="Times New Roman" w:hAnsi="Times New Roman" w:eastAsia="Calibri" w:cs="Times New Roman"/>
          <w:sz w:val="28"/>
          <w:szCs w:val="28"/>
          <w:highlight w:val="white"/>
        </w:rPr>
        <w:t xml:space="preserve">мероприятия: консультирование (19 мероприятий), информирование (4 мероприятия), профилактические визиты (12 мероприятий).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  <w:highlight w:val="white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Раздел 5. Действия органов государственного контроля (надзора), по пресечению нарушений обязательных требований и (или) устранению последствий таких нарушений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 целью недопущения,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устранения выявленных нарушений обязательных требований законодательства о социальном обслуживании контрольным органом были проведены следующие мероприятия по профилактике нарушений обязательных требований законодательства в сфере социального обслуживания: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1) размещены на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официальном сайте контрольного органа нормативные правовые акты, содержащие обязательные требования, оценка соблюдения которых является предметом регионального контроля (надзора), а также актуализированы тексты, соответствующих нормативных правовых актов;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2) осуществлено информирование контролируемых лиц по вопросам соблюдения обязательных требований законодательства в сфере социального обслуживания путем: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а) опубликования на официальном сайте контрольного органа соответствующих нормативных правовых актов по соблюдению обязательных требований;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б) проведения публичных мероприятий с контролируемыми лицами, направленных на соблюдение положений перечня актов, содержащих обязательные требования, соблюдение которых оценивается при проведении мероприятий при ос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уществлении регионального контроля (надзора) за соблюдением законодательства в сфере социального обслуживания, обеспечения доступности для инвалидов объектов социальной, инженерной и транспортной инфраструктур и предоставляемых услуг (в ходе указанных проф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илактических мероприятий даны ответы на вопросы слушателей, переданы методические и презентационные материалы, подготовлены и размещены в общем доступе в информационно-телекоммуникационной сети «Интернет» руководства по соблюдению обязательных требований);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в) проведения разъяснительной работы в ходе систематического и постоянного взаимодействия с контролируемыми лицами в рамках основной деятельности по вопросам соблюдения требований законодательства в сфере социального обслуживания;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г) осуществления направления официальных писем информационного, рекомендательного и предупредительного характера в адрес контролируемых лиц, 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также глав муниципальных районов и городских округов Новосибирской области, департамента по социальной политике мэрии города Новосибирска, в ведении которых находятся муниципальные учреждения социального обслуживания (на основании законов Новосибирской об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ласти от 19.10.2016             № 41-ОЗ «О наделении органов местного самоуправления городского округа города Новосибирска отдельными государственными полномочиями Новосибирской области по обеспечению социального обслуживания отдельных категорий граждан»,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от 13.12.2006 № 65-ОЗ «О наделении органов местного самоуправления муниципальных районов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городски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 округов в Новосибирской области отдельными государственными полномочиями Новосибирской области по обеспечению социального обслуживания отдельных категорий граждан»), в случае изменения обязательных требований законодательства в сфере социального обслужив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ания о содержании новых нормативных правовых актов, устанавливающих обязательные требования, а также рекомендации и требования о проведении необходимых организационных мероприятий, направленных на внедрение и обеспечение соблюдения обязательных требований;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Calibri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д) осуществления обобщения правоприменительной практики (не реже одного раза в год) и размещения на официальном сайте контрольного органа доклада, содержащего результаты обобщения правоприменительной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 практики. </w:t>
      </w:r>
      <w:r>
        <w:rPr>
          <w:rFonts w:ascii="Times New Roman" w:hAnsi="Times New Roman" w:eastAsia="Calibri" w:cs="Times New Roman"/>
          <w:sz w:val="28"/>
          <w:szCs w:val="28"/>
          <w:highlight w:val="white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Вместе с тем, в 2024 году проводились: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1) мероприятия регионального контроля (надзора), при проведении которых не требуется взаимодействие контрольного органа с юридическими лицами, индивидуальными предпринимателями: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а) мониторинг содержания в информационно-телекоммуникационной сети «Интернет» информации, содержащейся 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 официальных сайтах контролируемых лиц (комплексных центров социального обслуживания населения, муниципальных учреждений для детей-сирот и детей, оставшихся без попечения родителей, муниципальных социально-реабилитационных центров для несовершеннолетних);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б) мониторинг содержания информации, содержащейся в реестре контролируемых лиц, размещенном на официальном сайте контрольного органа;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2) анализ информации, содержащейся в обращениях граждан, организ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аций, органов государственной власти Новосибирской области о деятельности либо действиях (бездействии) контролируемых лиц, осуществляющих социальное обслуживание, на предмет наличия правовых оснований для проведения внеплановых проверок контролируемых лиц.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случае обнаружения нарушений требований законодательства в сфере социального обслуживания в ходе указанных мероприятий контрольным органом осуществляется подготовка и направление официальных писе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 предупредительного характера в адрес контролируемых лиц, а также глав муниципальных районов и городских округов Новосибирской области, департамента по социальной политике мэрии города Новосибирска, в ведении которых находятся муниципальные учреждения соц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иального обслуживания, о необходимости соблюдения обязательных требований законодательства в сфере социального обслуживания с требованиями о проведении необходимых организационных мероприятий, направленных на обеспечение соблюдения обязательных требований.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Обращений, заявлений контролируемых лиц, информации от органов государственной власти Новосибирской области, органов местного самоуправления, средств массовой информации о фактах нарушений в сфере социального обслуживания в контрольный орган не поступало.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20"/>
        <w:jc w:val="center"/>
        <w:spacing w:before="0"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pStyle w:val="645"/>
        <w:ind w:firstLine="720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Раздел 6. Анализ и оценка эффективности государственного контроля (надзора)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ind w:firstLine="720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sz w:val="28"/>
          <w:szCs w:val="28"/>
          <w:highlight w:val="yellow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Анализ и оценка рисков причинения вреда охраняемым законом ценностям и (или) анализ и оценка причиненного ущерба при осуществлении регионального контроля (надзора) проводилась в соответствии с постановлением Правительства Новосибирской области от 28.09.20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17 № 370-п «Об утверждении методики оценки результативности и эффективности деятельности областных исполнительных органов государственной власти Новосибирской области по осуществлению регионального государственного контроля (надзора)», а также на основании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 постановления № 363-п, которым утверждена методика оценки результативности и эффективности деятельности контрольного органа по осуществлению регионального контроля в сфере социального обслуживания. Методика направлена на снижение уровня причиняемого вреда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 (ущерба) охраняемым законом ценностям в сфере социального обслуживания, а также на достижение оптимального распределения трудовых, материальных и финансовых ресурсов государства и минимизацию неоправданного вмешательства в деятельность контролируемых лиц.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8"/>
        <w:jc w:val="both"/>
        <w:spacing w:before="0" w:after="0" w:line="24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Ключевые показатели и их целевые значения, индикативные показатели для осуществления государственного контроля (надзора) утверждены постановлением  № 363-п.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</w:r>
    </w:p>
    <w:p>
      <w:pPr>
        <w:pStyle w:val="645"/>
        <w:ind w:firstLine="708"/>
        <w:jc w:val="both"/>
        <w:spacing w:before="0" w:after="0" w:line="240" w:lineRule="auto"/>
        <w:rPr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Ключевыми показателями государственного контроля (надзора) являются:</w:t>
      </w:r>
      <w:r>
        <w:rPr>
          <w:color w:val="000000" w:themeColor="text1"/>
          <w:sz w:val="28"/>
          <w:szCs w:val="28"/>
          <w:highlight w:val="white"/>
        </w:rPr>
      </w:r>
    </w:p>
    <w:p>
      <w:pPr>
        <w:pStyle w:val="645"/>
        <w:ind w:firstLine="708"/>
        <w:jc w:val="both"/>
        <w:spacing w:before="0" w:after="0" w:line="240" w:lineRule="auto"/>
        <w:rPr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1) доля поставщиков социальных услуг из ч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исла негосударственных (коммерческих и некоммерческих) организаций социального обслуживания и индивидуальных предпринимателей, осуществляющих социальное обслуживание, по результатам проверки деятельности которых отсутствуют нарушения обязательных требовани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й законодательства в сфере социального обслуживания, связанные с возникновением угрозы вреда жизни и здоровью граждан, имуществу физических и юридических лиц и (или) причинением угрозы вреда жизни и здоровью граждан, имуществу физических и юридических лиц;</w:t>
      </w:r>
      <w:r>
        <w:rPr>
          <w:color w:val="000000" w:themeColor="text1"/>
          <w:sz w:val="28"/>
          <w:szCs w:val="28"/>
          <w:highlight w:val="white"/>
        </w:rPr>
      </w:r>
    </w:p>
    <w:p>
      <w:pPr>
        <w:pStyle w:val="645"/>
        <w:ind w:firstLine="708"/>
        <w:jc w:val="both"/>
        <w:spacing w:before="0" w:after="0" w:line="240" w:lineRule="auto"/>
        <w:rPr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2) доля по устранению нарушений поставщиками социальных услуг из числа негосударственных (коммерческих и некоммерческих) организаций социального обслуживания и индивидуальных предпринимателей, осуществляющими социаль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ное обслуживание, обязательных требований федеральных законов, иных нормативных правовых актов Российской Федерации, законов Новосибирской области и иных нормативных правовых актов в сфере социального обслуживания от общего количества выявленных нарушений.</w:t>
      </w:r>
      <w:r>
        <w:rPr>
          <w:color w:val="000000" w:themeColor="text1"/>
          <w:sz w:val="28"/>
          <w:szCs w:val="28"/>
          <w:highlight w:val="white"/>
        </w:rPr>
      </w:r>
    </w:p>
    <w:p>
      <w:pPr>
        <w:pStyle w:val="645"/>
        <w:ind w:firstLine="708"/>
        <w:jc w:val="both"/>
        <w:spacing w:before="0" w:after="0" w:line="240" w:lineRule="auto"/>
        <w:rPr>
          <w:color w:val="000000" w:themeColor="text1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В течение 2024 года в рамках регионального государственного контроля (надзора) в сфере социального обслуживания министерством проверки не проводились. Проводились профилактические мероприятия (12 профилактических визитов, 19 консультаций).</w:t>
      </w:r>
      <w:r>
        <w:rPr>
          <w:color w:val="000000" w:themeColor="text1"/>
          <w:sz w:val="28"/>
          <w:szCs w:val="28"/>
          <w:highlight w:val="yellow"/>
        </w:rPr>
      </w:r>
    </w:p>
    <w:p>
      <w:pPr>
        <w:pStyle w:val="645"/>
        <w:ind w:firstLine="708"/>
        <w:jc w:val="both"/>
        <w:spacing w:before="0" w:after="0" w:line="240" w:lineRule="auto"/>
        <w:rPr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Провести корректный анализ не представляется возможным, так как плановые и внеплановые проверки не проводились.</w:t>
      </w:r>
      <w:r>
        <w:rPr>
          <w:color w:val="000000" w:themeColor="text1"/>
          <w:sz w:val="28"/>
          <w:szCs w:val="28"/>
          <w:highlight w:val="white"/>
        </w:rPr>
      </w:r>
    </w:p>
    <w:p>
      <w:pPr>
        <w:pStyle w:val="645"/>
        <w:ind w:firstLine="708"/>
        <w:jc w:val="both"/>
        <w:spacing w:before="0" w:after="0" w:line="240" w:lineRule="auto"/>
        <w:rPr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Проблем при осуществлении регионального государственного контроля (надзора) в 2024 году не возникало.</w:t>
      </w:r>
      <w:r>
        <w:rPr>
          <w:color w:val="000000" w:themeColor="text1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20"/>
        <w:jc w:val="both"/>
        <w:spacing w:before="0"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645"/>
        <w:ind w:firstLine="708"/>
        <w:jc w:val="center"/>
        <w:spacing w:before="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Раздел 7. Выводы и предложения по результатам государственного контроля (надзора)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645"/>
        <w:ind w:firstLine="708"/>
        <w:jc w:val="center"/>
        <w:spacing w:before="0"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 связи  с отсутствием плана контрольных (надзорных) мероприятий на 2024 год министерством в отношении контролируемых лиц осуществлялись профилактические мероприятия в соответствии с программой профилактики.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процессе осуществления профилактических мероприятий в сфере  социального обслуживания граждан в 2024 году нарушений обязательных требований законодательства контролируемымии лицами  не выявлено.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ru-RU"/>
        </w:rPr>
        <w:t xml:space="preserve">202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5 году будет продолжена методическая, разъяснительная и профилактическая работа, направленная на предотвращение, пресечение и недопущение нарушений в сфере законодательства о социальном обслуживании граждан в отношении контролируемых лиц.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Нормативное правовое обеспечение является достаточным для эффективного осуществления государственного контроля (надзора).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9"/>
        <w:jc w:val="both"/>
        <w:spacing w:before="0" w:after="0" w:line="240" w:lineRule="auto"/>
        <w:tabs>
          <w:tab w:val="left" w:pos="567" w:leader="none"/>
          <w:tab w:val="clear" w:pos="70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Предложений по совершенствованию законодательства в сфере осуществления государственного контроля (надзора) не имеется.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ind w:firstLine="708"/>
        <w:jc w:val="center"/>
        <w:spacing w:before="0"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Основные показатели, характеризующие осуществление регионального государственного контроля (надзора) в сфере социального обслуживания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2024 году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jc w:val="center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pPr w:horzAnchor="margin" w:tblpXSpec="left" w:vertAnchor="text" w:tblpY="232" w:leftFromText="180" w:topFromText="0" w:rightFromText="180" w:bottomFromText="0"/>
        <w:tblW w:w="10031" w:type="dxa"/>
        <w:tblInd w:w="108" w:type="dxa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674"/>
        <w:gridCol w:w="1"/>
        <w:gridCol w:w="7087"/>
        <w:gridCol w:w="1136"/>
        <w:gridCol w:w="1132"/>
      </w:tblGrid>
      <w:tr>
        <w:tblPrEx/>
        <w:trPr>
          <w:trHeight w:val="23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r>
          </w:p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lang w:eastAsia="ru-RU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lang w:eastAsia="ru-RU"/>
              </w:rPr>
              <w:t xml:space="preserve">п/п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Merge w:val="restart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r>
          </w:p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lang w:eastAsia="ru-RU"/>
              </w:rPr>
              <w:t xml:space="preserve">Наименование показателя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lang w:eastAsia="ru-RU"/>
              </w:rPr>
              <w:t xml:space="preserve">Значение показателя,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r>
          </w:p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lang w:eastAsia="ru-RU"/>
              </w:rPr>
              <w:t xml:space="preserve">(%)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r>
          </w:p>
        </w:tc>
      </w:tr>
      <w:tr>
        <w:tblPrEx/>
        <w:trPr>
          <w:trHeight w:val="28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continue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Merge w:val="continue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lang w:eastAsia="ru-RU"/>
              </w:rPr>
              <w:t xml:space="preserve">202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lang w:eastAsia="ru-RU"/>
              </w:rPr>
              <w:t xml:space="preserve">2024</w:t>
            </w:r>
            <w:bookmarkStart w:id="0" w:name="_GoBack"/>
            <w:r/>
            <w:bookmarkEnd w:id="0"/>
            <w:r/>
            <w:r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</w:rPr>
            </w:r>
          </w:p>
        </w:tc>
      </w:tr>
      <w:tr>
        <w:tblPrEx/>
        <w:trPr>
          <w:trHeight w:val="705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утвержденного плана проведения плановых проверок (доля проведенных плановых проверок в процентах от общего количества запланированных проверок)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705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Количество проведенных контрольно-надзорных мероприятий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12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Количество внеплановых проверок по заявлениям (обращениям) физических и юридических лиц лиц, информации органов государственной власти, местного самоуправления, средств массовой информации об указанных фактах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6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Количество проверок, результаты которых признаны недействительными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6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Количество проверок, проведенных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с нарушением требований законодательства о порядке их проведения, по результатам выявления которых к должностным лицам министерства применены меры дисциплинарного и административного наказания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6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Общее количество плановых проверок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7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Общее количество внеплановых документарных и выездных проверок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78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Доля правонарушений, выявленных по итогам проведения внеплановых проверок (в процентах от общего числа правонарушений, выявленных по итогам проверок)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191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4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8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Количество внеплановых проверок, проведенных в связи с возникновение угрозы причинения вреда жизни,  здоровью граждан, вреда животным, рас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тениям, окружающей среде, объектам культурного наследия (памятникам истории и культуры) народов Российской Федерации, имуществу физических и юридических лиц, безопасности государства, а также угрозы чрезвычайных ситуаций природного и техногенного характера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6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Количество внеплановых проверок, проведенных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связи с причинение вреда жизни, здоровью граждан, вреда животным, растениям,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окружающей среде, объектам культурного наследия (памятникам истории и культуры) народов Российской Федерации, имуществу физических и юридических лиц, безопасности государства, а также возникновение чрезвычайных ситуаций природного и техногенного характера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613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  <w:t xml:space="preserve">Доля контролируемых лиц</w:t>
            </w:r>
            <w:r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  <w:lang w:val="ru-RU" w:eastAsia="ru-RU" w:bidi="ar-SA"/>
              </w:rPr>
              <w:t xml:space="preserve">, в деятельности которых выявлены нарушения законодательства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613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Доля проверок, по итогам которых по результатам выявленных правонарушений были возбуждены дела об административных правонарушениях (в процентах от общего числа проверок, по итогам которых были выявлены правонарушения)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613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ind w:firstLine="140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Доля проверок, по итогам которых по фактам выявленных нарушений  наложены административные наказания (в процентах от общего числа проверок, по итогам которых по результатам выявленных правонарушений возбуждены дела об административных правонарушениях)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493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Доля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white"/>
                <w:lang w:eastAsia="ru-RU"/>
              </w:rPr>
              <w:t xml:space="preserve">контролируемых лиц, в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деятельности которых выявлены нарушения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законодательства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, связанные с угрозой жизни, представляющие непосредственную угрозу причинения вреда жизни и здоровью граждан, вреда животным, расте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ниям,  окружающей среде, объектам культурного наследия (памятникам истории и культуры) народов Российской Федерации, имуществу физических и юридических лиц, безопасности государства, а также угрозу чрезвычайных ситуаций природного и техногенного характера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018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Доля контролируемых лиц, в деятельности которых выявлены нарушения законодательства,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связанные с угрозой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жизни, явившиеся причиной причинения вреда жизни и здоровью граждан, вреда животным, растениям,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окружающей среде, объектам культурного наследия (памятникам истории и культуры) народов Российской Федерации, имуществу физических и юридических лиц, безопасности государства, а также возникновения чрезвычайных ситуаций природного и техногенного характера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994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Доля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контролируемых лиц в деятельности которых выявлено невыполнение предписаний министерства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6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Доля проверок, по итогам которых по фактам  выявленных нарушений судом возбуждены дела об административных правонарушениях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62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Отношение суммы взысканных административных штрафов к общей сумме наложенных административных штрафов (в процентах)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62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7" w:type="dxa"/>
            <w:vAlign w:val="center"/>
            <w:textDirection w:val="lrTb"/>
            <w:noWrap w:val="false"/>
          </w:tcPr>
          <w:p>
            <w:pPr>
              <w:pStyle w:val="645"/>
              <w:jc w:val="both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Средний размер наложенного административного штрафа, в том числе на должностных лиц и юридических лиц (в тыс. рублей)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6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2" w:type="dxa"/>
            <w:vAlign w:val="center"/>
            <w:textDirection w:val="lrTb"/>
            <w:noWrap w:val="false"/>
          </w:tcPr>
          <w:p>
            <w:pPr>
              <w:pStyle w:val="645"/>
              <w:jc w:val="center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45"/>
        <w:jc w:val="right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45"/>
        <w:spacing w:before="0" w:after="160"/>
        <w:rPr>
          <w:sz w:val="28"/>
          <w:szCs w:val="28"/>
        </w:rPr>
      </w:pPr>
      <w:r/>
      <w:r>
        <w:rPr>
          <w:sz w:val="28"/>
          <w:szCs w:val="28"/>
        </w:rPr>
      </w:r>
    </w:p>
    <w:sectPr>
      <w:headerReference w:type="default" r:id="rId8"/>
      <w:footerReference w:type="default" r:id="rId9"/>
      <w:footnotePr/>
      <w:endnotePr/>
      <w:type w:val="nextPage"/>
      <w:pgSz w:w="11906" w:h="16838" w:orient="portrait"/>
      <w:pgMar w:top="1191" w:right="567" w:bottom="1134" w:left="1417" w:header="1134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Droid Sans Devanagari">
    <w:panose1 w:val="020B0606030804020204"/>
  </w:font>
  <w:font w:name="Liberation Sans">
    <w:panose1 w:val="020B0604020202020204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45"/>
      <w:jc w:val="left"/>
      <w:spacing w:before="0" w:beforeAutospacing="0" w:after="160" w:afterAutospacing="0" w:line="259" w:lineRule="auto"/>
      <w:widowControl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3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12</w:t>
    </w:r>
    <w:r>
      <w:rPr>
        <w:sz w:val="20"/>
        <w:szCs w:val="20"/>
      </w:rPr>
      <w:fldChar w:fldCharType="end"/>
    </w:r>
    <w:r>
      <w:rPr>
        <w:sz w:val="20"/>
        <w:szCs w:val="20"/>
      </w:rPr>
    </w:r>
  </w:p>
  <w:p>
    <w:pPr>
      <w:pStyle w:val="723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74">
    <w:name w:val="Hyperlink"/>
    <w:uiPriority w:val="99"/>
    <w:unhideWhenUsed/>
    <w:rPr>
      <w:color w:val="0000ff" w:themeColor="hyperlink"/>
      <w:u w:val="single"/>
    </w:rPr>
  </w:style>
  <w:style w:type="character" w:styleId="177">
    <w:name w:val="footnote reference"/>
    <w:basedOn w:val="676"/>
    <w:uiPriority w:val="99"/>
    <w:unhideWhenUsed/>
    <w:rPr>
      <w:vertAlign w:val="superscript"/>
    </w:rPr>
  </w:style>
  <w:style w:type="character" w:styleId="180">
    <w:name w:val="endnote reference"/>
    <w:basedOn w:val="676"/>
    <w:uiPriority w:val="99"/>
    <w:semiHidden/>
    <w:unhideWhenUsed/>
    <w:rPr>
      <w:vertAlign w:val="superscript"/>
    </w:rPr>
  </w:style>
  <w:style w:type="paragraph" w:styleId="645" w:default="1">
    <w:name w:val="Normal"/>
    <w:qFormat/>
    <w:pPr>
      <w:jc w:val="left"/>
      <w:spacing w:before="0" w:beforeAutospacing="0" w:after="160" w:afterAutospacing="0" w:line="259" w:lineRule="auto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646">
    <w:name w:val="Heading 1"/>
    <w:basedOn w:val="64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47">
    <w:name w:val="Heading 2"/>
    <w:basedOn w:val="64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48">
    <w:name w:val="Heading 3"/>
    <w:basedOn w:val="64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49">
    <w:name w:val="Heading 4"/>
    <w:basedOn w:val="64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50">
    <w:name w:val="Heading 5"/>
    <w:basedOn w:val="64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51">
    <w:name w:val="Heading 6"/>
    <w:basedOn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652">
    <w:name w:val="Heading 7"/>
    <w:basedOn w:val="64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53">
    <w:name w:val="Heading 8"/>
    <w:basedOn w:val="64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54">
    <w:name w:val="Heading 9"/>
    <w:basedOn w:val="64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5">
    <w:name w:val="Интернет-ссылка"/>
    <w:uiPriority w:val="99"/>
    <w:unhideWhenUsed/>
    <w:rPr>
      <w:color w:val="0563c1" w:themeColor="hyperlink"/>
      <w:u w:val="single"/>
    </w:rPr>
  </w:style>
  <w:style w:type="character" w:styleId="656">
    <w:name w:val="Привязка сноски"/>
    <w:rPr>
      <w:vertAlign w:val="superscript"/>
    </w:rPr>
  </w:style>
  <w:style w:type="character" w:styleId="657">
    <w:name w:val="Footnote Characters"/>
    <w:basedOn w:val="676"/>
    <w:uiPriority w:val="99"/>
    <w:unhideWhenUsed/>
    <w:qFormat/>
    <w:rPr>
      <w:vertAlign w:val="superscript"/>
    </w:rPr>
  </w:style>
  <w:style w:type="character" w:styleId="658">
    <w:name w:val="Привязка концевой сноски"/>
    <w:rPr>
      <w:vertAlign w:val="superscript"/>
    </w:rPr>
  </w:style>
  <w:style w:type="character" w:styleId="659">
    <w:name w:val="Endnote Characters"/>
    <w:basedOn w:val="676"/>
    <w:uiPriority w:val="99"/>
    <w:semiHidden/>
    <w:unhideWhenUsed/>
    <w:qFormat/>
    <w:rPr>
      <w:vertAlign w:val="superscript"/>
    </w:rPr>
  </w:style>
  <w:style w:type="character" w:styleId="660">
    <w:name w:val="Heading 1 Char"/>
    <w:basedOn w:val="676"/>
    <w:uiPriority w:val="9"/>
    <w:qFormat/>
    <w:rPr>
      <w:rFonts w:ascii="Arial" w:hAnsi="Arial" w:eastAsia="Arial" w:cs="Arial"/>
      <w:sz w:val="40"/>
      <w:szCs w:val="40"/>
    </w:rPr>
  </w:style>
  <w:style w:type="character" w:styleId="661">
    <w:name w:val="Heading 2 Char"/>
    <w:basedOn w:val="676"/>
    <w:uiPriority w:val="9"/>
    <w:qFormat/>
    <w:rPr>
      <w:rFonts w:ascii="Arial" w:hAnsi="Arial" w:eastAsia="Arial" w:cs="Arial"/>
      <w:sz w:val="34"/>
    </w:rPr>
  </w:style>
  <w:style w:type="character" w:styleId="662">
    <w:name w:val="Heading 3 Char"/>
    <w:basedOn w:val="676"/>
    <w:uiPriority w:val="9"/>
    <w:qFormat/>
    <w:rPr>
      <w:rFonts w:ascii="Arial" w:hAnsi="Arial" w:eastAsia="Arial" w:cs="Arial"/>
      <w:sz w:val="30"/>
      <w:szCs w:val="30"/>
    </w:rPr>
  </w:style>
  <w:style w:type="character" w:styleId="663">
    <w:name w:val="Heading 4 Char"/>
    <w:basedOn w:val="676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664">
    <w:name w:val="Heading 5 Char"/>
    <w:basedOn w:val="676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65">
    <w:name w:val="Heading 6 Char"/>
    <w:basedOn w:val="676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666">
    <w:name w:val="Heading 7 Char"/>
    <w:basedOn w:val="676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8 Char"/>
    <w:basedOn w:val="67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668">
    <w:name w:val="Heading 9 Char"/>
    <w:basedOn w:val="676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669">
    <w:name w:val="Title Char"/>
    <w:basedOn w:val="676"/>
    <w:uiPriority w:val="10"/>
    <w:qFormat/>
    <w:rPr>
      <w:sz w:val="48"/>
      <w:szCs w:val="48"/>
    </w:rPr>
  </w:style>
  <w:style w:type="character" w:styleId="670">
    <w:name w:val="Subtitle Char"/>
    <w:basedOn w:val="676"/>
    <w:uiPriority w:val="11"/>
    <w:qFormat/>
    <w:rPr>
      <w:sz w:val="24"/>
      <w:szCs w:val="24"/>
    </w:rPr>
  </w:style>
  <w:style w:type="character" w:styleId="671">
    <w:name w:val="Quote Char"/>
    <w:uiPriority w:val="29"/>
    <w:qFormat/>
    <w:rPr>
      <w:i/>
    </w:rPr>
  </w:style>
  <w:style w:type="character" w:styleId="672">
    <w:name w:val="Intense Quote Char"/>
    <w:uiPriority w:val="30"/>
    <w:qFormat/>
    <w:rPr>
      <w:i/>
    </w:rPr>
  </w:style>
  <w:style w:type="character" w:styleId="673">
    <w:name w:val="Caption Char"/>
    <w:uiPriority w:val="99"/>
    <w:qFormat/>
  </w:style>
  <w:style w:type="character" w:styleId="674">
    <w:name w:val="Footnote Text Char"/>
    <w:uiPriority w:val="99"/>
    <w:qFormat/>
    <w:rPr>
      <w:sz w:val="18"/>
    </w:rPr>
  </w:style>
  <w:style w:type="character" w:styleId="675">
    <w:name w:val="Endnote Text Char"/>
    <w:uiPriority w:val="99"/>
    <w:qFormat/>
    <w:rPr>
      <w:sz w:val="20"/>
    </w:rPr>
  </w:style>
  <w:style w:type="character" w:styleId="676" w:default="1">
    <w:name w:val="Default Paragraph Font"/>
    <w:uiPriority w:val="1"/>
    <w:semiHidden/>
    <w:unhideWhenUsed/>
    <w:qFormat/>
  </w:style>
  <w:style w:type="character" w:styleId="677" w:customStyle="1">
    <w:name w:val="Заголовок 1 Знак"/>
    <w:basedOn w:val="676"/>
    <w:uiPriority w:val="9"/>
    <w:qFormat/>
    <w:rPr>
      <w:rFonts w:ascii="Arial" w:hAnsi="Arial" w:eastAsia="Arial" w:cs="Arial"/>
      <w:sz w:val="40"/>
      <w:szCs w:val="40"/>
    </w:rPr>
  </w:style>
  <w:style w:type="character" w:styleId="678" w:customStyle="1">
    <w:name w:val="Заголовок 2 Знак"/>
    <w:basedOn w:val="676"/>
    <w:uiPriority w:val="9"/>
    <w:qFormat/>
    <w:rPr>
      <w:rFonts w:ascii="Arial" w:hAnsi="Arial" w:eastAsia="Arial" w:cs="Arial"/>
      <w:sz w:val="34"/>
    </w:rPr>
  </w:style>
  <w:style w:type="character" w:styleId="679" w:customStyle="1">
    <w:name w:val="Заголовок 3 Знак"/>
    <w:basedOn w:val="676"/>
    <w:uiPriority w:val="9"/>
    <w:qFormat/>
    <w:rPr>
      <w:rFonts w:ascii="Arial" w:hAnsi="Arial" w:eastAsia="Arial" w:cs="Arial"/>
      <w:sz w:val="30"/>
      <w:szCs w:val="30"/>
    </w:rPr>
  </w:style>
  <w:style w:type="character" w:styleId="680" w:customStyle="1">
    <w:name w:val="Заголовок 4 Знак"/>
    <w:basedOn w:val="676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681" w:customStyle="1">
    <w:name w:val="Заголовок 5 Знак"/>
    <w:basedOn w:val="676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82" w:customStyle="1">
    <w:name w:val="Заголовок 6 Знак"/>
    <w:basedOn w:val="676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683" w:customStyle="1">
    <w:name w:val="Заголовок 7 Знак"/>
    <w:basedOn w:val="676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684" w:customStyle="1">
    <w:name w:val="Заголовок 8 Знак"/>
    <w:basedOn w:val="67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685" w:customStyle="1">
    <w:name w:val="Заголовок 9 Знак"/>
    <w:basedOn w:val="676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686" w:customStyle="1">
    <w:name w:val="Название Знак"/>
    <w:basedOn w:val="676"/>
    <w:uiPriority w:val="10"/>
    <w:qFormat/>
    <w:rPr>
      <w:sz w:val="48"/>
      <w:szCs w:val="48"/>
    </w:rPr>
  </w:style>
  <w:style w:type="character" w:styleId="687" w:customStyle="1">
    <w:name w:val="Подзаголовок Знак"/>
    <w:basedOn w:val="676"/>
    <w:uiPriority w:val="11"/>
    <w:qFormat/>
    <w:rPr>
      <w:sz w:val="24"/>
      <w:szCs w:val="24"/>
    </w:rPr>
  </w:style>
  <w:style w:type="character" w:styleId="688" w:customStyle="1">
    <w:name w:val="Цитата 2 Знак"/>
    <w:uiPriority w:val="29"/>
    <w:qFormat/>
    <w:rPr>
      <w:i/>
    </w:rPr>
  </w:style>
  <w:style w:type="character" w:styleId="689" w:customStyle="1">
    <w:name w:val="Выделенная цитата Знак"/>
    <w:uiPriority w:val="30"/>
    <w:qFormat/>
    <w:rPr>
      <w:i/>
    </w:rPr>
  </w:style>
  <w:style w:type="character" w:styleId="690" w:customStyle="1">
    <w:name w:val="Header Char"/>
    <w:basedOn w:val="676"/>
    <w:uiPriority w:val="99"/>
    <w:qFormat/>
  </w:style>
  <w:style w:type="character" w:styleId="691" w:customStyle="1">
    <w:name w:val="Footer Char"/>
    <w:basedOn w:val="676"/>
    <w:uiPriority w:val="99"/>
    <w:qFormat/>
  </w:style>
  <w:style w:type="character" w:styleId="692" w:customStyle="1">
    <w:name w:val="Нижний колонтитул Знак"/>
    <w:uiPriority w:val="99"/>
    <w:qFormat/>
  </w:style>
  <w:style w:type="character" w:styleId="693" w:customStyle="1">
    <w:name w:val="Текст сноски Знак"/>
    <w:uiPriority w:val="99"/>
    <w:qFormat/>
    <w:rPr>
      <w:sz w:val="18"/>
    </w:rPr>
  </w:style>
  <w:style w:type="character" w:styleId="694" w:customStyle="1">
    <w:name w:val="Текст концевой сноски Знак"/>
    <w:uiPriority w:val="99"/>
    <w:qFormat/>
    <w:rPr>
      <w:sz w:val="20"/>
    </w:rPr>
  </w:style>
  <w:style w:type="character" w:styleId="695" w:customStyle="1">
    <w:name w:val="Верхний колонтитул Знак"/>
    <w:uiPriority w:val="99"/>
    <w:qFormat/>
    <w:rPr>
      <w:rFonts w:ascii="Times New Roman" w:hAnsi="Times New Roman" w:cs="Times New Roman"/>
    </w:rPr>
  </w:style>
  <w:style w:type="character" w:styleId="696" w:customStyle="1">
    <w:name w:val="Текст выноски Знак"/>
    <w:basedOn w:val="676"/>
    <w:uiPriority w:val="99"/>
    <w:semiHidden/>
    <w:qFormat/>
    <w:rPr>
      <w:rFonts w:ascii="Segoe UI" w:hAnsi="Segoe UI" w:cs="Segoe UI"/>
      <w:sz w:val="18"/>
      <w:szCs w:val="18"/>
    </w:rPr>
  </w:style>
  <w:style w:type="paragraph" w:styleId="697">
    <w:name w:val="Заголовок"/>
    <w:basedOn w:val="645"/>
    <w:next w:val="698"/>
    <w:qFormat/>
    <w:pPr>
      <w:keepNext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698">
    <w:name w:val="Body Text"/>
    <w:basedOn w:val="645"/>
    <w:pPr>
      <w:spacing w:before="0" w:after="140" w:line="276" w:lineRule="auto"/>
    </w:pPr>
  </w:style>
  <w:style w:type="paragraph" w:styleId="699">
    <w:name w:val="List"/>
    <w:basedOn w:val="698"/>
    <w:rPr>
      <w:rFonts w:cs="Droid Sans Devanagari"/>
    </w:rPr>
  </w:style>
  <w:style w:type="paragraph" w:styleId="700">
    <w:name w:val="Caption"/>
    <w:basedOn w:val="645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701">
    <w:name w:val="Указатель"/>
    <w:basedOn w:val="645"/>
    <w:qFormat/>
    <w:pPr>
      <w:suppressLineNumbers/>
    </w:pPr>
    <w:rPr>
      <w:rFonts w:cs="Droid Sans Devanagari"/>
    </w:rPr>
  </w:style>
  <w:style w:type="paragraph" w:styleId="702">
    <w:name w:val="List Paragraph"/>
    <w:basedOn w:val="645"/>
    <w:uiPriority w:val="34"/>
    <w:qFormat/>
    <w:pPr>
      <w:contextualSpacing/>
      <w:ind w:left="720" w:firstLine="0"/>
      <w:spacing w:before="0" w:after="160"/>
    </w:pPr>
  </w:style>
  <w:style w:type="paragraph" w:styleId="703">
    <w:name w:val="No Spacing"/>
    <w:uiPriority w:val="1"/>
    <w:qFormat/>
    <w:pPr>
      <w:jc w:val="left"/>
      <w:spacing w:before="0" w:beforeAutospacing="0" w:after="0" w:afterAutospacing="0" w:line="240" w:lineRule="auto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704">
    <w:name w:val="Title"/>
    <w:basedOn w:val="645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05">
    <w:name w:val="Subtitle"/>
    <w:basedOn w:val="645"/>
    <w:uiPriority w:val="11"/>
    <w:qFormat/>
    <w:pPr>
      <w:spacing w:before="200" w:after="200"/>
    </w:pPr>
    <w:rPr>
      <w:sz w:val="24"/>
      <w:szCs w:val="24"/>
    </w:rPr>
  </w:style>
  <w:style w:type="paragraph" w:styleId="706">
    <w:name w:val="Quote"/>
    <w:basedOn w:val="645"/>
    <w:uiPriority w:val="29"/>
    <w:qFormat/>
    <w:pPr>
      <w:ind w:left="720" w:right="720" w:firstLine="0"/>
    </w:pPr>
    <w:rPr>
      <w:i/>
    </w:rPr>
  </w:style>
  <w:style w:type="paragraph" w:styleId="707">
    <w:name w:val="Intense Quote"/>
    <w:basedOn w:val="645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08">
    <w:name w:val="Верхний и нижний колонтитулы"/>
    <w:basedOn w:val="645"/>
    <w:qFormat/>
  </w:style>
  <w:style w:type="paragraph" w:styleId="709">
    <w:name w:val="Footer"/>
    <w:basedOn w:val="645"/>
    <w:uiPriority w:val="99"/>
    <w:unhideWhenUsed/>
    <w:pPr>
      <w:spacing w:before="0" w:after="0" w:line="240" w:lineRule="auto"/>
      <w:tabs>
        <w:tab w:val="clear" w:pos="708" w:leader="none"/>
        <w:tab w:val="center" w:pos="7143" w:leader="none"/>
        <w:tab w:val="right" w:pos="14287" w:leader="none"/>
      </w:tabs>
    </w:pPr>
  </w:style>
  <w:style w:type="paragraph" w:styleId="710">
    <w:name w:val="footnote text"/>
    <w:basedOn w:val="645"/>
    <w:uiPriority w:val="99"/>
    <w:semiHidden/>
    <w:unhideWhenUsed/>
    <w:pPr>
      <w:spacing w:before="0" w:after="40" w:line="240" w:lineRule="auto"/>
    </w:pPr>
    <w:rPr>
      <w:sz w:val="18"/>
    </w:rPr>
  </w:style>
  <w:style w:type="paragraph" w:styleId="711">
    <w:name w:val="endnote text"/>
    <w:basedOn w:val="645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712">
    <w:name w:val="toc 1"/>
    <w:basedOn w:val="645"/>
    <w:uiPriority w:val="39"/>
    <w:unhideWhenUsed/>
    <w:pPr>
      <w:spacing w:before="0" w:after="57"/>
    </w:pPr>
  </w:style>
  <w:style w:type="paragraph" w:styleId="713">
    <w:name w:val="toc 2"/>
    <w:basedOn w:val="645"/>
    <w:uiPriority w:val="39"/>
    <w:unhideWhenUsed/>
    <w:pPr>
      <w:ind w:left="283" w:firstLine="0"/>
      <w:spacing w:before="0" w:after="57"/>
    </w:pPr>
  </w:style>
  <w:style w:type="paragraph" w:styleId="714">
    <w:name w:val="toc 3"/>
    <w:basedOn w:val="645"/>
    <w:uiPriority w:val="39"/>
    <w:unhideWhenUsed/>
    <w:pPr>
      <w:ind w:left="567" w:firstLine="0"/>
      <w:spacing w:before="0" w:after="57"/>
    </w:pPr>
  </w:style>
  <w:style w:type="paragraph" w:styleId="715">
    <w:name w:val="toc 4"/>
    <w:basedOn w:val="645"/>
    <w:uiPriority w:val="39"/>
    <w:unhideWhenUsed/>
    <w:pPr>
      <w:ind w:left="850" w:firstLine="0"/>
      <w:spacing w:before="0" w:after="57"/>
    </w:pPr>
  </w:style>
  <w:style w:type="paragraph" w:styleId="716">
    <w:name w:val="toc 5"/>
    <w:basedOn w:val="645"/>
    <w:uiPriority w:val="39"/>
    <w:unhideWhenUsed/>
    <w:pPr>
      <w:ind w:left="1134" w:firstLine="0"/>
      <w:spacing w:before="0" w:after="57"/>
    </w:pPr>
  </w:style>
  <w:style w:type="paragraph" w:styleId="717">
    <w:name w:val="toc 6"/>
    <w:basedOn w:val="645"/>
    <w:uiPriority w:val="39"/>
    <w:unhideWhenUsed/>
    <w:pPr>
      <w:ind w:left="1417" w:firstLine="0"/>
      <w:spacing w:before="0" w:after="57"/>
    </w:pPr>
  </w:style>
  <w:style w:type="paragraph" w:styleId="718">
    <w:name w:val="toc 7"/>
    <w:basedOn w:val="645"/>
    <w:uiPriority w:val="39"/>
    <w:unhideWhenUsed/>
    <w:pPr>
      <w:ind w:left="1701" w:firstLine="0"/>
      <w:spacing w:before="0" w:after="57"/>
    </w:pPr>
  </w:style>
  <w:style w:type="paragraph" w:styleId="719">
    <w:name w:val="toc 8"/>
    <w:basedOn w:val="645"/>
    <w:uiPriority w:val="39"/>
    <w:unhideWhenUsed/>
    <w:pPr>
      <w:ind w:left="1984" w:firstLine="0"/>
      <w:spacing w:before="0" w:after="57"/>
    </w:pPr>
  </w:style>
  <w:style w:type="paragraph" w:styleId="720">
    <w:name w:val="toc 9"/>
    <w:basedOn w:val="645"/>
    <w:uiPriority w:val="39"/>
    <w:unhideWhenUsed/>
    <w:pPr>
      <w:ind w:left="2268" w:firstLine="0"/>
      <w:spacing w:before="0" w:after="57"/>
    </w:pPr>
  </w:style>
  <w:style w:type="paragraph" w:styleId="721">
    <w:name w:val="TOC Heading"/>
    <w:uiPriority w:val="39"/>
    <w:unhideWhenUsed/>
    <w:qFormat/>
    <w:pPr>
      <w:jc w:val="left"/>
      <w:spacing w:before="0" w:beforeAutospacing="0" w:after="160" w:afterAutospacing="0" w:line="259" w:lineRule="auto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722">
    <w:name w:val="table of figures"/>
    <w:basedOn w:val="645"/>
    <w:uiPriority w:val="99"/>
    <w:unhideWhenUsed/>
    <w:qFormat/>
    <w:pPr>
      <w:spacing w:before="0" w:after="0"/>
    </w:pPr>
  </w:style>
  <w:style w:type="paragraph" w:styleId="723">
    <w:name w:val="Header"/>
    <w:basedOn w:val="645"/>
    <w:uiPriority w:val="99"/>
    <w:unhideWhenUsed/>
    <w:pPr>
      <w:jc w:val="center"/>
      <w:spacing w:before="0" w:after="0" w:line="240" w:lineRule="auto"/>
      <w:tabs>
        <w:tab w:val="clear" w:pos="708" w:leader="none"/>
        <w:tab w:val="center" w:pos="4677" w:leader="none"/>
        <w:tab w:val="right" w:pos="9355" w:leader="none"/>
      </w:tabs>
    </w:pPr>
    <w:rPr>
      <w:rFonts w:ascii="Times New Roman" w:hAnsi="Times New Roman" w:cs="Times New Roman"/>
    </w:rPr>
  </w:style>
  <w:style w:type="paragraph" w:styleId="724">
    <w:name w:val="Balloon Text"/>
    <w:basedOn w:val="645"/>
    <w:uiPriority w:val="99"/>
    <w:semiHidden/>
    <w:unhideWhenUsed/>
    <w:qFormat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styleId="725">
    <w:name w:val="Содержимое таблицы"/>
    <w:basedOn w:val="645"/>
    <w:qFormat/>
    <w:pPr>
      <w:suppressLineNumbers/>
    </w:pPr>
  </w:style>
  <w:style w:type="paragraph" w:styleId="726">
    <w:name w:val="Заголовок таблицы"/>
    <w:basedOn w:val="725"/>
    <w:qFormat/>
    <w:pPr>
      <w:jc w:val="center"/>
      <w:suppressLineNumbers/>
    </w:pPr>
    <w:rPr>
      <w:b/>
      <w:bCs/>
    </w:rPr>
  </w:style>
  <w:style w:type="numbering" w:styleId="727" w:default="1">
    <w:name w:val="No List"/>
    <w:uiPriority w:val="99"/>
    <w:semiHidden/>
    <w:unhideWhenUsed/>
    <w:qFormat/>
  </w:style>
  <w:style w:type="table" w:styleId="72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2f2f2" w:themeFill="text1" w:themeFillTint="00"/>
      </w:tcPr>
    </w:tblStylePr>
    <w:tblStylePr w:type="band1Vert">
      <w:tcPr>
        <w:shd w:val="clear" w:color="ffffff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73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73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color w:val="404040"/>
        <w:sz w:val="22"/>
      </w:rPr>
      <w:tcPr>
        <w:shd w:val="clear" w:color="ffffff" w:fill="f2f2f2" w:themeFill="text1" w:themeFillTint="00"/>
      </w:tcPr>
    </w:tblStylePr>
    <w:tblStylePr w:type="band1Vert">
      <w:rPr>
        <w:color w:val="404040"/>
        <w:sz w:val="22"/>
      </w:rPr>
      <w:tcPr>
        <w:shd w:val="clear" w:color="ffffff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color w:val="404040"/>
        <w:sz w:val="22"/>
      </w:rPr>
      <w:tcPr>
        <w:shd w:val="clear" w:color="ffffff" w:fill="f2f2f2" w:themeFill="text1" w:themeFillTint="00"/>
      </w:tcPr>
    </w:tblStylePr>
    <w:tblStylePr w:type="band1Vert">
      <w:rPr>
        <w:color w:val="404040"/>
        <w:sz w:val="22"/>
      </w:rPr>
      <w:tcPr>
        <w:shd w:val="clear" w:color="ffffff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color w:val="404040"/>
        <w:sz w:val="22"/>
      </w:rPr>
      <w:tcPr>
        <w:shd w:val="clear" w:color="ffffff" w:fill="f2f2f2" w:themeFill="text1" w:themeFillTint="00"/>
      </w:tcPr>
    </w:tblStylePr>
    <w:tblStylePr w:type="band1Vert">
      <w:rPr>
        <w:color w:val="404040"/>
        <w:sz w:val="22"/>
      </w:rPr>
      <w:tcPr>
        <w:shd w:val="clear" w:color="ffffff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ffffff" w:fill="ddebf6" w:themeFill="accent1" w:themeFillTint="34"/>
      </w:tcPr>
    </w:tblStylePr>
    <w:tblStylePr w:type="band1Vert">
      <w:rPr>
        <w:color w:val="404040"/>
        <w:sz w:val="22"/>
      </w:rPr>
      <w:tcPr>
        <w:shd w:val="clear" w:color="ffffff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fffff" w:fill="fbe5d6" w:themeFill="accent2" w:themeFillTint="32"/>
      </w:tcPr>
    </w:tblStylePr>
    <w:tblStylePr w:type="band1Vert">
      <w:rPr>
        <w:color w:val="404040"/>
        <w:sz w:val="22"/>
      </w:rPr>
      <w:tcPr>
        <w:shd w:val="clear" w:color="ffffff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ffffff" w:fill="ededed" w:themeFill="accent3" w:themeFillTint="34"/>
      </w:tcPr>
    </w:tblStylePr>
    <w:tblStylePr w:type="band1Vert">
      <w:rPr>
        <w:color w:val="404040"/>
        <w:sz w:val="22"/>
      </w:rPr>
      <w:tcPr>
        <w:shd w:val="clear" w:color="ffffff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ffffff" w:fill="fef2cb" w:themeFill="accent4" w:themeFillTint="34"/>
      </w:tcPr>
    </w:tblStylePr>
    <w:tblStylePr w:type="band1Vert">
      <w:rPr>
        <w:color w:val="404040"/>
        <w:sz w:val="22"/>
      </w:rPr>
      <w:tcPr>
        <w:shd w:val="clear" w:color="ffffff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/>
        <w:sz w:val="22"/>
      </w:rPr>
      <w:tcPr>
        <w:shd w:val="clear" w:color="ffffff" w:fill="d9e2f2" w:themeFill="accent5" w:themeFillTint="34"/>
      </w:tcPr>
    </w:tblStylePr>
    <w:tblStylePr w:type="band1Vert">
      <w:rPr>
        <w:color w:val="404040"/>
        <w:sz w:val="22"/>
      </w:rPr>
      <w:tcPr>
        <w:shd w:val="clear" w:color="ffffff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/>
        <w:sz w:val="22"/>
      </w:rPr>
      <w:tcPr>
        <w:shd w:val="clear" w:color="ffffff" w:fill="e2efd8" w:themeFill="accent6" w:themeFillTint="34"/>
      </w:tcPr>
    </w:tblStylePr>
    <w:tblStylePr w:type="band1Vert">
      <w:rPr>
        <w:color w:val="404040"/>
        <w:sz w:val="22"/>
      </w:rPr>
      <w:tcPr>
        <w:shd w:val="clear" w:color="ffffff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ffffff" w:fill="ddebf6" w:themeFill="accent1" w:themeFillTint="34"/>
      </w:tcPr>
    </w:tblStylePr>
    <w:tblStylePr w:type="band1Vert">
      <w:rPr>
        <w:color w:val="404040"/>
        <w:sz w:val="22"/>
      </w:rPr>
      <w:tcPr>
        <w:shd w:val="clear" w:color="ffffff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fffff" w:fill="fbe5d6" w:themeFill="accent2" w:themeFillTint="32"/>
      </w:tcPr>
    </w:tblStylePr>
    <w:tblStylePr w:type="band1Vert">
      <w:rPr>
        <w:color w:val="404040"/>
        <w:sz w:val="22"/>
      </w:rPr>
      <w:tcPr>
        <w:shd w:val="clear" w:color="ffffff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ffffff" w:fill="ededed" w:themeFill="accent3" w:themeFillTint="34"/>
      </w:tcPr>
    </w:tblStylePr>
    <w:tblStylePr w:type="band1Vert">
      <w:rPr>
        <w:color w:val="404040"/>
        <w:sz w:val="22"/>
      </w:rPr>
      <w:tcPr>
        <w:shd w:val="clear" w:color="ffffff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ffffff" w:fill="fef2cb" w:themeFill="accent4" w:themeFillTint="34"/>
      </w:tcPr>
    </w:tblStylePr>
    <w:tblStylePr w:type="band1Vert">
      <w:rPr>
        <w:color w:val="404040"/>
        <w:sz w:val="22"/>
      </w:rPr>
      <w:tcPr>
        <w:shd w:val="clear" w:color="ffffff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/>
        <w:sz w:val="22"/>
      </w:rPr>
      <w:tcPr>
        <w:shd w:val="clear" w:color="ffffff" w:fill="d9e2f2" w:themeFill="accent5" w:themeFillTint="34"/>
      </w:tcPr>
    </w:tblStylePr>
    <w:tblStylePr w:type="band1Vert">
      <w:rPr>
        <w:color w:val="404040"/>
        <w:sz w:val="22"/>
      </w:rPr>
      <w:tcPr>
        <w:shd w:val="clear" w:color="ffffff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/>
        <w:sz w:val="22"/>
      </w:rPr>
      <w:tcPr>
        <w:shd w:val="clear" w:color="ffffff" w:fill="e2efd8" w:themeFill="accent6" w:themeFillTint="34"/>
      </w:tcPr>
    </w:tblStylePr>
    <w:tblStylePr w:type="band1Vert">
      <w:rPr>
        <w:color w:val="404040"/>
        <w:sz w:val="22"/>
      </w:rPr>
      <w:tcPr>
        <w:shd w:val="clear" w:color="ffffff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ffffff" w:fill="dfebf6" w:themeFill="accent1" w:themeFillTint="32"/>
      </w:tcPr>
    </w:tblStylePr>
    <w:tblStylePr w:type="band1Vert">
      <w:rPr>
        <w:color w:val="404040"/>
        <w:sz w:val="22"/>
      </w:rPr>
      <w:tcPr>
        <w:shd w:val="clear" w:color="ffffff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67a4d8" w:themeFill="accent1" w:themeFillTint="EA"/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</w:tcBorders>
      </w:tcPr>
    </w:tblStylePr>
  </w:style>
  <w:style w:type="table" w:styleId="75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fffff" w:fill="fbe5d6" w:themeFill="accent2" w:themeFillTint="32"/>
      </w:tcPr>
    </w:tblStylePr>
    <w:tblStylePr w:type="band1Vert">
      <w:rPr>
        <w:color w:val="404040"/>
        <w:sz w:val="22"/>
      </w:rPr>
      <w:tcPr>
        <w:shd w:val="clear" w:color="ffffff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f4b185" w:themeFill="accent2" w:themeFillTint="97"/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</w:tcBorders>
      </w:tcPr>
    </w:tblStylePr>
  </w:style>
  <w:style w:type="table" w:styleId="75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ffffff" w:fill="ededed" w:themeFill="accent3" w:themeFillTint="34"/>
      </w:tcPr>
    </w:tblStylePr>
    <w:tblStylePr w:type="band1Vert">
      <w:rPr>
        <w:color w:val="404040"/>
        <w:sz w:val="22"/>
      </w:rPr>
      <w:tcPr>
        <w:shd w:val="clear" w:color="ffffff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a5a5a5" w:themeFill="accent3" w:themeFillTint="FE"/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</w:tcBorders>
      </w:tcPr>
    </w:tblStylePr>
  </w:style>
  <w:style w:type="table" w:styleId="76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ffffff" w:fill="fef2cb" w:themeFill="accent4" w:themeFillTint="34"/>
      </w:tcPr>
    </w:tblStylePr>
    <w:tblStylePr w:type="band1Vert">
      <w:rPr>
        <w:color w:val="404040"/>
        <w:sz w:val="22"/>
      </w:rPr>
      <w:tcPr>
        <w:shd w:val="clear" w:color="ffffff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ffd864" w:themeFill="accent4" w:themeFillTint="9A"/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</w:tcBorders>
      </w:tcPr>
    </w:tblStylePr>
  </w:style>
  <w:style w:type="table" w:styleId="76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ffffff" w:fill="d9e2f2" w:themeFill="accent5" w:themeFillTint="34"/>
      </w:tcPr>
    </w:tblStylePr>
    <w:tblStylePr w:type="band1Vert">
      <w:rPr>
        <w:color w:val="404040"/>
        <w:sz w:val="22"/>
      </w:rPr>
      <w:tcPr>
        <w:shd w:val="clear" w:color="ffffff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fffff" w:fill="e2efd8" w:themeFill="accent6" w:themeFillTint="34"/>
      </w:tcPr>
    </w:tblStylePr>
    <w:tblStylePr w:type="band1Vert">
      <w:rPr>
        <w:color w:val="404040"/>
        <w:sz w:val="22"/>
      </w:rPr>
      <w:tcPr>
        <w:shd w:val="clear" w:color="ffffff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8a8a8a" w:themeFill="text1" w:themeFillTint="75"/>
      </w:tcPr>
    </w:tblStylePr>
    <w:tblStylePr w:type="band1Vert">
      <w:tcPr>
        <w:shd w:val="clear" w:color="ffffff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ffffff" w:fill="000000" w:themeFill="text1"/>
      </w:tcPr>
    </w:tblStylePr>
    <w:tblStylePr w:type="firstRow">
      <w:rPr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ffffff"/>
        <w:sz w:val="22"/>
      </w:rPr>
      <w:tcPr>
        <w:shd w:val="clear" w:color="ffffff" w:fill="000000" w:themeFill="text1"/>
      </w:tcPr>
    </w:tblStylePr>
    <w:tblStylePr w:type="lastRow">
      <w:rPr>
        <w:b/>
        <w:color w:val="ffffff"/>
        <w:sz w:val="22"/>
      </w:rPr>
      <w:tcPr>
        <w:shd w:val="clear" w:color="ffffff" w:fill="000000" w:themeFill="text1"/>
        <w:tcBorders>
          <w:top w:val="single" w:color="000000" w:themeColor="light1" w:sz="4" w:space="0"/>
        </w:tcBorders>
      </w:tcPr>
    </w:tblStylePr>
  </w:style>
  <w:style w:type="table" w:styleId="76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b4d2eb" w:themeFill="accent1" w:themeFillTint="75"/>
      </w:tcPr>
    </w:tblStylePr>
    <w:tblStylePr w:type="band1Vert">
      <w:tcPr>
        <w:shd w:val="clear" w:color="ffffff" w:fill="b4d2eb" w:themeFill="accent1" w:themeFillTint="75"/>
      </w:tcPr>
    </w:tblStylePr>
    <w:tblStylePr w:type="firstCol">
      <w:rPr>
        <w:b/>
        <w:color w:val="ffffff"/>
        <w:sz w:val="22"/>
      </w:rPr>
      <w:tcPr>
        <w:shd w:val="clear" w:color="ffffff" w:fill="5b9bd5" w:themeFill="accent1"/>
      </w:tcPr>
    </w:tblStylePr>
    <w:tblStylePr w:type="firstRow">
      <w:rPr>
        <w:b/>
        <w:color w:val="ffffff"/>
        <w:sz w:val="22"/>
      </w:rPr>
      <w:tcPr>
        <w:shd w:val="clear" w:color="ffffff" w:fill="5b9bd5" w:themeFill="accent1"/>
      </w:tcPr>
    </w:tblStylePr>
    <w:tblStylePr w:type="lastCol">
      <w:rPr>
        <w:b/>
        <w:color w:val="ffffff"/>
        <w:sz w:val="22"/>
      </w:rPr>
      <w:tcPr>
        <w:shd w:val="clear" w:color="ffffff" w:fill="5b9bd5" w:themeFill="accent1"/>
      </w:tcPr>
    </w:tblStylePr>
    <w:tblStylePr w:type="lastRow">
      <w:rPr>
        <w:b/>
        <w:color w:val="ffffff"/>
        <w:sz w:val="22"/>
      </w:rPr>
      <w:tcPr>
        <w:shd w:val="clear" w:color="ffffff" w:fill="5b9bd5" w:themeFill="accent1"/>
        <w:tcBorders>
          <w:top w:val="single" w:color="000000" w:themeColor="light1" w:sz="4" w:space="0"/>
        </w:tcBorders>
      </w:tcPr>
    </w:tblStylePr>
  </w:style>
  <w:style w:type="table" w:styleId="76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f6c3a1" w:themeFill="accent2" w:themeFillTint="75"/>
      </w:tcPr>
    </w:tblStylePr>
    <w:tblStylePr w:type="band1Vert">
      <w:tcPr>
        <w:shd w:val="clear" w:color="ffffff" w:fill="f6c3a1" w:themeFill="accent2" w:themeFillTint="75"/>
      </w:tcPr>
    </w:tblStylePr>
    <w:tblStylePr w:type="firstCol">
      <w:rPr>
        <w:b/>
        <w:color w:val="ffffff"/>
        <w:sz w:val="22"/>
      </w:rPr>
      <w:tcPr>
        <w:shd w:val="clear" w:color="ffffff" w:fill="ed7d31" w:themeFill="accent2"/>
      </w:tcPr>
    </w:tblStylePr>
    <w:tblStylePr w:type="firstRow">
      <w:rPr>
        <w:b/>
        <w:color w:val="ffffff"/>
        <w:sz w:val="22"/>
      </w:rPr>
      <w:tcPr>
        <w:shd w:val="clear" w:color="ffffff" w:fill="ed7d31" w:themeFill="accent2"/>
      </w:tcPr>
    </w:tblStylePr>
    <w:tblStylePr w:type="lastCol">
      <w:rPr>
        <w:b/>
        <w:color w:val="ffffff"/>
        <w:sz w:val="22"/>
      </w:rPr>
      <w:tcPr>
        <w:shd w:val="clear" w:color="ffffff" w:fill="ed7d31" w:themeFill="accent2"/>
      </w:tcPr>
    </w:tblStylePr>
    <w:tblStylePr w:type="lastRow">
      <w:rPr>
        <w:b/>
        <w:color w:val="ffffff"/>
        <w:sz w:val="22"/>
      </w:rPr>
      <w:tcPr>
        <w:shd w:val="clear" w:color="ffffff" w:fill="ed7d31" w:themeFill="accent2"/>
        <w:tcBorders>
          <w:top w:val="single" w:color="000000" w:themeColor="light1" w:sz="4" w:space="0"/>
        </w:tcBorders>
      </w:tcPr>
    </w:tblStylePr>
  </w:style>
  <w:style w:type="table" w:styleId="76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d6d6d6" w:themeFill="accent3" w:themeFillTint="75"/>
      </w:tcPr>
    </w:tblStylePr>
    <w:tblStylePr w:type="band1Vert">
      <w:tcPr>
        <w:shd w:val="clear" w:color="ffffff" w:fill="d6d6d6" w:themeFill="accent3" w:themeFillTint="75"/>
      </w:tcPr>
    </w:tblStylePr>
    <w:tblStylePr w:type="firstCol">
      <w:rPr>
        <w:b/>
        <w:color w:val="ffffff"/>
        <w:sz w:val="22"/>
      </w:rPr>
      <w:tcPr>
        <w:shd w:val="clear" w:color="ffffff" w:fill="a5a5a5" w:themeFill="accent3"/>
      </w:tcPr>
    </w:tblStylePr>
    <w:tblStylePr w:type="firstRow">
      <w:rPr>
        <w:b/>
        <w:color w:val="ffffff"/>
        <w:sz w:val="22"/>
      </w:rPr>
      <w:tcPr>
        <w:shd w:val="clear" w:color="ffffff" w:fill="a5a5a5" w:themeFill="accent3"/>
      </w:tcPr>
    </w:tblStylePr>
    <w:tblStylePr w:type="lastCol">
      <w:rPr>
        <w:b/>
        <w:color w:val="ffffff"/>
        <w:sz w:val="22"/>
      </w:rPr>
      <w:tcPr>
        <w:shd w:val="clear" w:color="ffffff" w:fill="a5a5a5" w:themeFill="accent3"/>
      </w:tcPr>
    </w:tblStylePr>
    <w:tblStylePr w:type="lastRow">
      <w:rPr>
        <w:b/>
        <w:color w:val="ffffff"/>
        <w:sz w:val="22"/>
      </w:rPr>
      <w:tcPr>
        <w:shd w:val="clear" w:color="ffffff" w:fill="a5a5a5" w:themeFill="accent3"/>
        <w:tcBorders>
          <w:top w:val="single" w:color="000000" w:themeColor="light1" w:sz="4" w:space="0"/>
        </w:tcBorders>
      </w:tcPr>
    </w:tblStylePr>
  </w:style>
  <w:style w:type="table" w:styleId="76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fee189" w:themeFill="accent4" w:themeFillTint="75"/>
      </w:tcPr>
    </w:tblStylePr>
    <w:tblStylePr w:type="band1Vert">
      <w:tcPr>
        <w:shd w:val="clear" w:color="ffffff" w:fill="fee189" w:themeFill="accent4" w:themeFillTint="75"/>
      </w:tcPr>
    </w:tblStylePr>
    <w:tblStylePr w:type="firstCol">
      <w:rPr>
        <w:b/>
        <w:color w:val="ffffff"/>
        <w:sz w:val="22"/>
      </w:rPr>
      <w:tcPr>
        <w:shd w:val="clear" w:color="ffffff" w:fill="ffc000" w:themeFill="accent4"/>
      </w:tcPr>
    </w:tblStylePr>
    <w:tblStylePr w:type="firstRow">
      <w:rPr>
        <w:b/>
        <w:color w:val="ffffff"/>
        <w:sz w:val="22"/>
      </w:rPr>
      <w:tcPr>
        <w:shd w:val="clear" w:color="ffffff" w:fill="ffc000" w:themeFill="accent4"/>
      </w:tcPr>
    </w:tblStylePr>
    <w:tblStylePr w:type="lastCol">
      <w:rPr>
        <w:b/>
        <w:color w:val="ffffff"/>
        <w:sz w:val="22"/>
      </w:rPr>
      <w:tcPr>
        <w:shd w:val="clear" w:color="ffffff" w:fill="ffc000" w:themeFill="accent4"/>
      </w:tcPr>
    </w:tblStylePr>
    <w:tblStylePr w:type="lastRow">
      <w:rPr>
        <w:b/>
        <w:color w:val="ffffff"/>
        <w:sz w:val="22"/>
      </w:rPr>
      <w:tcPr>
        <w:shd w:val="clear" w:color="ffffff" w:fill="ffc000" w:themeFill="accent4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aabfe3" w:themeFill="accent5" w:themeFillTint="75"/>
      </w:tcPr>
    </w:tblStylePr>
    <w:tblStylePr w:type="band1Vert">
      <w:tcPr>
        <w:shd w:val="clear" w:color="ffffff" w:fill="aabfe3" w:themeFill="accent5" w:themeFillTint="75"/>
      </w:tcPr>
    </w:tblStylePr>
    <w:tblStylePr w:type="firstCol">
      <w:rPr>
        <w:b/>
        <w:color w:val="ffffff"/>
        <w:sz w:val="22"/>
      </w:rPr>
      <w:tcPr>
        <w:shd w:val="clear" w:color="ffffff" w:fill="4472c4" w:themeFill="accent5"/>
      </w:tcPr>
    </w:tblStylePr>
    <w:tblStylePr w:type="firstRow">
      <w:rPr>
        <w:b/>
        <w:color w:val="ffffff"/>
        <w:sz w:val="22"/>
      </w:rPr>
      <w:tcPr>
        <w:shd w:val="clear" w:color="ffffff" w:fill="4472c4" w:themeFill="accent5"/>
      </w:tcPr>
    </w:tblStylePr>
    <w:tblStylePr w:type="lastCol">
      <w:rPr>
        <w:b/>
        <w:color w:val="ffffff"/>
        <w:sz w:val="22"/>
      </w:rPr>
      <w:tcPr>
        <w:shd w:val="clear" w:color="ffffff" w:fill="4472c4" w:themeFill="accent5"/>
      </w:tcPr>
    </w:tblStylePr>
    <w:tblStylePr w:type="lastRow">
      <w:rPr>
        <w:b/>
        <w:color w:val="ffffff"/>
        <w:sz w:val="22"/>
      </w:rPr>
      <w:tcPr>
        <w:shd w:val="clear" w:color="ffffff" w:fill="4472c4" w:themeFill="accent5"/>
        <w:tcBorders>
          <w:top w:val="single" w:color="000000" w:themeColor="light1" w:sz="4" w:space="0"/>
        </w:tcBorders>
      </w:tcPr>
    </w:tblStylePr>
  </w:style>
  <w:style w:type="table" w:styleId="76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cPr>
        <w:shd w:val="clear" w:color="ffffff" w:fill="bedba8" w:themeFill="accent6" w:themeFillTint="75"/>
      </w:tcPr>
    </w:tblStylePr>
    <w:tblStylePr w:type="band1Vert">
      <w:tcPr>
        <w:shd w:val="clear" w:color="ffffff" w:fill="bedba8" w:themeFill="accent6" w:themeFillTint="75"/>
      </w:tcPr>
    </w:tblStylePr>
    <w:tblStylePr w:type="firstCol">
      <w:rPr>
        <w:b/>
        <w:color w:val="ffffff"/>
        <w:sz w:val="22"/>
      </w:rPr>
      <w:tcPr>
        <w:shd w:val="clear" w:color="ffffff" w:fill="70ad47" w:themeFill="accent6"/>
      </w:tcPr>
    </w:tblStylePr>
    <w:tblStylePr w:type="firstRow">
      <w:rPr>
        <w:b/>
        <w:color w:val="ffffff"/>
        <w:sz w:val="22"/>
      </w:rPr>
      <w:tcPr>
        <w:shd w:val="clear" w:color="ffffff" w:fill="70ad47" w:themeFill="accent6"/>
      </w:tcPr>
    </w:tblStylePr>
    <w:tblStylePr w:type="lastCol">
      <w:rPr>
        <w:b/>
        <w:color w:val="ffffff"/>
        <w:sz w:val="22"/>
      </w:rPr>
      <w:tcPr>
        <w:shd w:val="clear" w:color="ffffff" w:fill="70ad47" w:themeFill="accent6"/>
      </w:tcPr>
    </w:tblStylePr>
    <w:tblStylePr w:type="lastRow">
      <w:rPr>
        <w:b/>
        <w:color w:val="ffffff"/>
        <w:sz w:val="22"/>
      </w:rPr>
      <w:tcPr>
        <w:shd w:val="clear" w:color="ffffff" w:fill="70ad47" w:themeFill="accent6"/>
        <w:tcBorders>
          <w:top w:val="single" w:color="000000" w:themeColor="light1" w:sz="4" w:space="0"/>
        </w:tcBorders>
      </w:tcPr>
    </w:tblStylePr>
  </w:style>
  <w:style w:type="table" w:styleId="77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val="404040" w:themeColor="text1" w:themeTint="80" w:themeShade="95"/>
        <w:sz w:val="22"/>
      </w:rPr>
      <w:tcPr>
        <w:shd w:val="clear" w:color="ffffff" w:fill="cbcbcb" w:themeFill="text1" w:themeFillTint="34"/>
      </w:tcPr>
    </w:tblStylePr>
    <w:tblStylePr w:type="band1Vert">
      <w:tcPr>
        <w:shd w:val="clear" w:color="ffffff" w:fill="cbcbcb" w:themeFill="text1" w:themeFillTint="34"/>
      </w:tcPr>
    </w:tblStylePr>
    <w:tblStylePr w:type="band2Horz">
      <w:rPr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color w:val="404040" w:themeColor="text1" w:themeTint="80" w:themeShade="95"/>
        <w:sz w:val="22"/>
      </w:rPr>
    </w:tblStylePr>
  </w:style>
  <w:style w:type="table" w:styleId="77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val="404040" w:themeColor="accent1" w:themeTint="80" w:themeShade="95"/>
        <w:sz w:val="22"/>
      </w:rPr>
      <w:tcPr>
        <w:shd w:val="clear" w:color="ffffff" w:fill="ddebf6" w:themeFill="accent1" w:themeFillTint="34"/>
      </w:tcPr>
    </w:tblStylePr>
    <w:tblStylePr w:type="band1Vert">
      <w:tcPr>
        <w:shd w:val="clear" w:color="ffffff" w:fill="ddebf6" w:themeFill="accent1" w:themeFillTint="34"/>
      </w:tcPr>
    </w:tblStylePr>
    <w:tblStylePr w:type="band2Horz">
      <w:rPr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color w:val="404040" w:themeColor="accent1" w:themeTint="80" w:themeShade="95"/>
        <w:sz w:val="22"/>
      </w:rPr>
    </w:tblStylePr>
  </w:style>
  <w:style w:type="table" w:styleId="77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404040" w:themeColor="accent2" w:themeTint="97" w:themeShade="95"/>
        <w:sz w:val="22"/>
      </w:rPr>
      <w:tcPr>
        <w:shd w:val="clear" w:color="ffffff" w:fill="fbe5d6" w:themeFill="accent2" w:themeFillTint="32"/>
      </w:tcPr>
    </w:tblStylePr>
    <w:tblStylePr w:type="band1Vert">
      <w:tcPr>
        <w:shd w:val="clear" w:color="ffffff" w:fill="fbe5d6" w:themeFill="accent2" w:themeFillTint="32"/>
      </w:tcPr>
    </w:tblStylePr>
    <w:tblStylePr w:type="band2Horz">
      <w:rPr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color w:val="404040" w:themeColor="accent2" w:themeTint="97" w:themeShade="95"/>
        <w:sz w:val="22"/>
      </w:rPr>
    </w:tblStylePr>
  </w:style>
  <w:style w:type="table" w:styleId="77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404040" w:themeColor="accent3" w:themeTint="FE" w:themeShade="95"/>
        <w:sz w:val="22"/>
      </w:rPr>
      <w:tcPr>
        <w:shd w:val="clear" w:color="ffffff" w:fill="ededed" w:themeFill="accent3" w:themeFillTint="34"/>
      </w:tcPr>
    </w:tblStylePr>
    <w:tblStylePr w:type="band1Vert">
      <w:tcPr>
        <w:shd w:val="clear" w:color="ffffff" w:fill="ededed" w:themeFill="accent3" w:themeFillTint="34"/>
      </w:tcPr>
    </w:tblStylePr>
    <w:tblStylePr w:type="band2Horz">
      <w:rPr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color w:val="404040" w:themeColor="accent3" w:themeTint="FE" w:themeShade="95"/>
        <w:sz w:val="22"/>
      </w:rPr>
    </w:tblStylePr>
  </w:style>
  <w:style w:type="table" w:styleId="77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404040" w:themeColor="accent4" w:themeTint="9A" w:themeShade="95"/>
        <w:sz w:val="22"/>
      </w:rPr>
      <w:tcPr>
        <w:shd w:val="clear" w:color="ffffff" w:fill="fef2cb" w:themeFill="accent4" w:themeFillTint="34"/>
      </w:tcPr>
    </w:tblStylePr>
    <w:tblStylePr w:type="band1Vert">
      <w:tcPr>
        <w:shd w:val="clear" w:color="ffffff" w:fill="fef2cb" w:themeFill="accent4" w:themeFillTint="34"/>
      </w:tcPr>
    </w:tblStylePr>
    <w:tblStylePr w:type="band2Horz">
      <w:rPr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color w:val="404040" w:themeColor="accent4" w:themeTint="9A" w:themeShade="95"/>
        <w:sz w:val="22"/>
      </w:rPr>
    </w:tblStylePr>
  </w:style>
  <w:style w:type="table" w:styleId="77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 w:themeColor="accent5" w:themeShade="95"/>
        <w:sz w:val="22"/>
      </w:rPr>
      <w:tcPr>
        <w:shd w:val="clear" w:color="ffffff" w:fill="d9e2f2" w:themeFill="accent5" w:themeFillTint="34"/>
      </w:tcPr>
    </w:tblStylePr>
    <w:tblStylePr w:type="band1Vert">
      <w:tcPr>
        <w:shd w:val="clear" w:color="ffffff" w:fill="d9e2f2" w:themeFill="accent5" w:themeFillTint="34"/>
      </w:tcPr>
    </w:tblStylePr>
    <w:tblStylePr w:type="band2Horz">
      <w:rPr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color w:val="404040" w:themeColor="accent5" w:themeShade="95"/>
        <w:sz w:val="22"/>
      </w:rPr>
    </w:tblStylePr>
  </w:style>
  <w:style w:type="table" w:styleId="77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 w:themeColor="accent5" w:themeShade="95"/>
        <w:sz w:val="22"/>
      </w:rPr>
      <w:tcPr>
        <w:shd w:val="clear" w:color="ffffff" w:fill="e2efd8" w:themeFill="accent6" w:themeFillTint="34"/>
      </w:tcPr>
    </w:tblStylePr>
    <w:tblStylePr w:type="band1Vert">
      <w:tcPr>
        <w:shd w:val="clear" w:color="ffffff" w:fill="e2efd8" w:themeFill="accent6" w:themeFillTint="34"/>
      </w:tcPr>
    </w:tblStylePr>
    <w:tblStylePr w:type="band2Horz">
      <w:rPr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color w:val="404040" w:themeColor="accent5" w:themeShade="95"/>
        <w:sz w:val="22"/>
      </w:rPr>
    </w:tblStylePr>
  </w:style>
  <w:style w:type="table" w:styleId="77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cPr>
        <w:shd w:val="clear" w:color="ffffff" w:fill="f2f2f2" w:themeFill="text1" w:themeFillTint="00"/>
      </w:tcPr>
    </w:tblStylePr>
    <w:tblStylePr w:type="band1Vert">
      <w:tcPr>
        <w:shd w:val="clear" w:color="ffffff" w:fill="f2f2f2" w:themeFill="text1" w:themeFillTint="00"/>
      </w:tcPr>
    </w:tblStylePr>
    <w:tblStylePr w:type="band2Horz">
      <w:rPr>
        <w:color w:val="4a4a4a" w:themeColor="text1" w:themeTint="80" w:themeShade="95"/>
        <w:sz w:val="22"/>
      </w:rPr>
    </w:tblStylePr>
    <w:tblStylePr w:type="firstCol">
      <w:rPr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b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val="317bba" w:themeColor="accent1" w:themeTint="80" w:themeShade="95"/>
        <w:sz w:val="22"/>
      </w:rPr>
      <w:tcPr>
        <w:shd w:val="clear" w:color="ffffff" w:fill="ddebf6" w:themeFill="accent1" w:themeFillTint="34"/>
      </w:tcPr>
    </w:tblStylePr>
    <w:tblStylePr w:type="band1Vert">
      <w:tcPr>
        <w:shd w:val="clear" w:color="ffffff" w:fill="ddebf6" w:themeFill="accent1" w:themeFillTint="34"/>
      </w:tcPr>
    </w:tblStylePr>
    <w:tblStylePr w:type="band2Horz">
      <w:rPr>
        <w:color w:val="317bba" w:themeColor="accent1" w:themeTint="80" w:themeShade="95"/>
        <w:sz w:val="22"/>
      </w:rPr>
    </w:tblStylePr>
    <w:tblStylePr w:type="firstCol">
      <w:rPr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b/>
        <w:color w:val="317bba" w:themeColor="accen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317bba" w:themeColor="accent1" w:themeTint="80" w:themeShade="95"/>
        <w:sz w:val="22"/>
      </w:rPr>
      <w:tcPr>
        <w:shd w:val="clear" w:color="ffffff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c95712" w:themeColor="accent2" w:themeTint="97" w:themeShade="95"/>
        <w:sz w:val="22"/>
      </w:rPr>
      <w:tcPr>
        <w:shd w:val="clear" w:color="ffffff" w:fill="fbe5d6" w:themeFill="accent2" w:themeFillTint="32"/>
      </w:tcPr>
    </w:tblStylePr>
    <w:tblStylePr w:type="band1Vert">
      <w:tcPr>
        <w:shd w:val="clear" w:color="ffffff" w:fill="fbe5d6" w:themeFill="accent2" w:themeFillTint="32"/>
      </w:tcPr>
    </w:tblStylePr>
    <w:tblStylePr w:type="band2Horz">
      <w:rPr>
        <w:color w:val="c95712" w:themeColor="accent2" w:themeTint="97" w:themeShade="95"/>
        <w:sz w:val="22"/>
      </w:rPr>
    </w:tblStylePr>
    <w:tblStylePr w:type="firstCol">
      <w:rPr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sz="4" w:space="0"/>
        </w:tcBorders>
      </w:tcPr>
    </w:tblStylePr>
    <w:tblStylePr w:type="firstRow">
      <w:rPr>
        <w:b/>
        <w:color w:val="c95712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c95712" w:themeColor="accent2" w:themeTint="97" w:themeShade="95"/>
        <w:sz w:val="22"/>
      </w:rPr>
      <w:tcPr>
        <w:shd w:val="clear" w:color="ffffff" w:fill="ffffff" w:themeFill="light1"/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606060" w:themeColor="accent3" w:themeTint="FE" w:themeShade="95"/>
        <w:sz w:val="22"/>
      </w:rPr>
      <w:tcPr>
        <w:shd w:val="clear" w:color="ffffff" w:fill="ededed" w:themeFill="accent3" w:themeFillTint="34"/>
      </w:tcPr>
    </w:tblStylePr>
    <w:tblStylePr w:type="band1Vert">
      <w:tcPr>
        <w:shd w:val="clear" w:color="ffffff" w:fill="ededed" w:themeFill="accent3" w:themeFillTint="34"/>
      </w:tcPr>
    </w:tblStylePr>
    <w:tblStylePr w:type="band2Horz">
      <w:rPr>
        <w:color w:val="606060" w:themeColor="accent3" w:themeTint="FE" w:themeShade="95"/>
        <w:sz w:val="22"/>
      </w:rPr>
    </w:tblStylePr>
    <w:tblStylePr w:type="firstCol">
      <w:rPr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sz="4" w:space="0"/>
        </w:tcBorders>
      </w:tcPr>
    </w:tblStylePr>
    <w:tblStylePr w:type="firstRow">
      <w:rPr>
        <w:b/>
        <w:color w:val="606060" w:themeColor="accent3" w:themeTint="FE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606060" w:themeColor="accent3" w:themeTint="FE" w:themeShade="95"/>
        <w:sz w:val="22"/>
      </w:rPr>
      <w:tcPr>
        <w:shd w:val="clear" w:color="ffffff" w:fill="ffffff" w:themeFill="light1"/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cd9600" w:themeColor="accent4" w:themeTint="9A" w:themeShade="95"/>
        <w:sz w:val="22"/>
      </w:rPr>
      <w:tcPr>
        <w:shd w:val="clear" w:color="ffffff" w:fill="fef2cb" w:themeFill="accent4" w:themeFillTint="34"/>
      </w:tcPr>
    </w:tblStylePr>
    <w:tblStylePr w:type="band1Vert">
      <w:tcPr>
        <w:shd w:val="clear" w:color="ffffff" w:fill="fef2cb" w:themeFill="accent4" w:themeFillTint="34"/>
      </w:tcPr>
    </w:tblStylePr>
    <w:tblStylePr w:type="band2Horz">
      <w:rPr>
        <w:color w:val="cd9600" w:themeColor="accent4" w:themeTint="9A" w:themeShade="95"/>
        <w:sz w:val="22"/>
      </w:rPr>
    </w:tblStylePr>
    <w:tblStylePr w:type="firstCol">
      <w:rPr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sz="4" w:space="0"/>
        </w:tcBorders>
      </w:tcPr>
    </w:tblStylePr>
    <w:tblStylePr w:type="firstRow">
      <w:rPr>
        <w:b/>
        <w:color w:val="cd9600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cd9600" w:themeColor="accent4" w:themeTint="9A" w:themeShade="95"/>
        <w:sz w:val="22"/>
      </w:rPr>
      <w:tcPr>
        <w:shd w:val="clear" w:color="ffffff" w:fill="ffffff" w:themeFill="light1"/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color w:val="254374" w:themeColor="accent5" w:themeShade="95"/>
        <w:sz w:val="22"/>
      </w:rPr>
      <w:tcPr>
        <w:shd w:val="clear" w:color="ffffff" w:fill="d9e2f2" w:themeFill="accent5" w:themeFillTint="34"/>
      </w:tcPr>
    </w:tblStylePr>
    <w:tblStylePr w:type="band1Vert">
      <w:tcPr>
        <w:shd w:val="clear" w:color="ffffff" w:fill="d9e2f2" w:themeFill="accent5" w:themeFillTint="34"/>
      </w:tcPr>
    </w:tblStylePr>
    <w:tblStylePr w:type="band2Horz">
      <w:rPr>
        <w:color w:val="254374" w:themeColor="accent5" w:themeShade="95"/>
        <w:sz w:val="22"/>
      </w:rPr>
    </w:tblStylePr>
    <w:tblStylePr w:type="firstCol">
      <w:rPr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sz="4" w:space="0"/>
        </w:tcBorders>
      </w:tcPr>
    </w:tblStylePr>
    <w:tblStylePr w:type="firstRow">
      <w:rPr>
        <w:b/>
        <w:color w:val="254374" w:themeColor="accent5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254374" w:themeColor="accent5" w:themeShade="95"/>
        <w:sz w:val="22"/>
      </w:rPr>
      <w:tcPr>
        <w:shd w:val="clear" w:color="ffffff" w:fill="ffffff" w:themeFill="light1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color w:val="426429" w:themeColor="accent6" w:themeShade="95"/>
        <w:sz w:val="22"/>
      </w:rPr>
      <w:tcPr>
        <w:shd w:val="clear" w:color="ffffff" w:fill="e2efd8" w:themeFill="accent6" w:themeFillTint="34"/>
      </w:tcPr>
    </w:tblStylePr>
    <w:tblStylePr w:type="band1Vert">
      <w:tcPr>
        <w:shd w:val="clear" w:color="ffffff" w:fill="e2efd8" w:themeFill="accent6" w:themeFillTint="34"/>
      </w:tcPr>
    </w:tblStylePr>
    <w:tblStylePr w:type="band2Horz">
      <w:rPr>
        <w:color w:val="426429" w:themeColor="accent6" w:themeShade="95"/>
        <w:sz w:val="22"/>
      </w:rPr>
    </w:tblStylePr>
    <w:tblStylePr w:type="firstCol">
      <w:rPr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sz="4" w:space="0"/>
        </w:tcBorders>
      </w:tcPr>
    </w:tblStylePr>
    <w:tblStylePr w:type="firstRow">
      <w:rPr>
        <w:b/>
        <w:color w:val="426429" w:themeColor="accent6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26429" w:themeColor="accent6" w:themeShade="95"/>
        <w:sz w:val="22"/>
      </w:rPr>
      <w:tcPr>
        <w:shd w:val="clear" w:color="ffffff" w:fill="ffffff" w:themeFill="light1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d5e6f4" w:themeFill="accent1" w:themeFillTint="40"/>
      </w:tcPr>
    </w:tblStylePr>
    <w:tblStylePr w:type="band1Vert">
      <w:tcPr>
        <w:shd w:val="clear" w:color="ffffff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fadecb" w:themeFill="accent2" w:themeFillTint="40"/>
      </w:tcPr>
    </w:tblStylePr>
    <w:tblStylePr w:type="band1Vert">
      <w:tcPr>
        <w:shd w:val="clear" w:color="ffffff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e8e8e8" w:themeFill="accent3" w:themeFillTint="40"/>
      </w:tcPr>
    </w:tblStylePr>
    <w:tblStylePr w:type="band1Vert">
      <w:tcPr>
        <w:shd w:val="clear" w:color="ffffff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ffefbf" w:themeFill="accent4" w:themeFillTint="40"/>
      </w:tcPr>
    </w:tblStylePr>
    <w:tblStylePr w:type="band1Vert">
      <w:tcPr>
        <w:shd w:val="clear" w:color="ffffff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cfdcf0" w:themeFill="accent5" w:themeFillTint="40"/>
      </w:tcPr>
    </w:tblStylePr>
    <w:tblStylePr w:type="band1Vert">
      <w:tcPr>
        <w:shd w:val="clear" w:color="ffffff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fill="dbebd0" w:themeFill="accent6" w:themeFillTint="40"/>
      </w:tcPr>
    </w:tblStylePr>
    <w:tblStylePr w:type="band1Vert">
      <w:tcPr>
        <w:shd w:val="clear" w:color="ffffff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styleId="79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ffffff" w:fill="d5e6f4" w:themeFill="accent1" w:themeFillTint="40"/>
      </w:tcPr>
    </w:tblStylePr>
    <w:tblStylePr w:type="band1Vert">
      <w:rPr>
        <w:color w:val="404040"/>
        <w:sz w:val="22"/>
      </w:rPr>
      <w:tcPr>
        <w:shd w:val="clear" w:color="ffffff" w:fill="d5e6f4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</w:style>
  <w:style w:type="table" w:styleId="79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fffff" w:fill="fadecb" w:themeFill="accent2" w:themeFillTint="40"/>
      </w:tcPr>
    </w:tblStylePr>
    <w:tblStylePr w:type="band1Vert">
      <w:rPr>
        <w:color w:val="404040"/>
        <w:sz w:val="22"/>
      </w:rPr>
      <w:tcPr>
        <w:shd w:val="clear" w:color="ffffff" w:fill="fadecb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</w:style>
  <w:style w:type="table" w:styleId="79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ffffff" w:fill="e8e8e8" w:themeFill="accent3" w:themeFillTint="40"/>
      </w:tcPr>
    </w:tblStylePr>
    <w:tblStylePr w:type="band1Vert">
      <w:rPr>
        <w:color w:val="404040"/>
        <w:sz w:val="22"/>
      </w:rPr>
      <w:tcPr>
        <w:shd w:val="clear" w:color="ffffff" w:fill="e8e8e8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</w:style>
  <w:style w:type="table" w:styleId="79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ffffff" w:fill="ffefbf" w:themeFill="accent4" w:themeFillTint="40"/>
      </w:tcPr>
    </w:tblStylePr>
    <w:tblStylePr w:type="band1Vert">
      <w:rPr>
        <w:color w:val="404040"/>
        <w:sz w:val="22"/>
      </w:rPr>
      <w:tcPr>
        <w:shd w:val="clear" w:color="ffffff" w:fill="ffefbf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</w:style>
  <w:style w:type="table" w:styleId="79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ffffff" w:fill="cfdcf0" w:themeFill="accent5" w:themeFillTint="40"/>
      </w:tcPr>
    </w:tblStylePr>
    <w:tblStylePr w:type="band1Vert">
      <w:rPr>
        <w:color w:val="404040"/>
        <w:sz w:val="22"/>
      </w:rPr>
      <w:tcPr>
        <w:shd w:val="clear" w:color="ffffff" w:fill="cfdc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</w:style>
  <w:style w:type="table" w:styleId="79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fffff" w:fill="dbebd0" w:themeFill="accent6" w:themeFillTint="40"/>
      </w:tcPr>
    </w:tblStylePr>
    <w:tblStylePr w:type="band1Vert">
      <w:rPr>
        <w:color w:val="404040"/>
        <w:sz w:val="22"/>
      </w:rPr>
      <w:tcPr>
        <w:shd w:val="clear" w:color="ffffff" w:fill="dbeb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</w:style>
  <w:style w:type="table" w:styleId="79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2" w:sz="4" w:space="0"/>
          <w:bottom w:val="single" w:color="000000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3" w:sz="4" w:space="0"/>
          <w:bottom w:val="single" w:color="000000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4" w:sz="4" w:space="0"/>
          <w:bottom w:val="single" w:color="000000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5" w:sz="4" w:space="0"/>
          <w:bottom w:val="single" w:color="000000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6" w:sz="4" w:space="0"/>
          <w:bottom w:val="single" w:color="00000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ffffff" w:fill="d5e6f4" w:themeFill="accent1" w:themeFillTint="40"/>
      </w:tcPr>
    </w:tblStylePr>
    <w:tblStylePr w:type="band1Vert">
      <w:rPr>
        <w:color w:val="404040"/>
        <w:sz w:val="22"/>
      </w:rPr>
      <w:tcPr>
        <w:shd w:val="clear" w:color="ffffff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fffff" w:fill="fadecb" w:themeFill="accent2" w:themeFillTint="40"/>
      </w:tcPr>
    </w:tblStylePr>
    <w:tblStylePr w:type="band1Vert">
      <w:rPr>
        <w:color w:val="404040"/>
        <w:sz w:val="22"/>
      </w:rPr>
      <w:tcPr>
        <w:shd w:val="clear" w:color="ffffff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ffffff" w:fill="e8e8e8" w:themeFill="accent3" w:themeFillTint="40"/>
      </w:tcPr>
    </w:tblStylePr>
    <w:tblStylePr w:type="band1Vert">
      <w:rPr>
        <w:color w:val="404040"/>
        <w:sz w:val="22"/>
      </w:rPr>
      <w:tcPr>
        <w:shd w:val="clear" w:color="ffffff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ffffff" w:fill="ffefbf" w:themeFill="accent4" w:themeFillTint="40"/>
      </w:tcPr>
    </w:tblStylePr>
    <w:tblStylePr w:type="band1Vert">
      <w:rPr>
        <w:color w:val="404040"/>
        <w:sz w:val="22"/>
      </w:rPr>
      <w:tcPr>
        <w:shd w:val="clear" w:color="ffffff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ffffff" w:fill="cfdcf0" w:themeFill="accent5" w:themeFillTint="40"/>
      </w:tcPr>
    </w:tblStylePr>
    <w:tblStylePr w:type="band1Vert">
      <w:rPr>
        <w:color w:val="404040"/>
        <w:sz w:val="22"/>
      </w:rPr>
      <w:tcPr>
        <w:shd w:val="clear" w:color="ffffff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fffff" w:fill="dbebd0" w:themeFill="accent6" w:themeFillTint="40"/>
      </w:tcPr>
    </w:tblStylePr>
    <w:tblStylePr w:type="band1Vert">
      <w:rPr>
        <w:color w:val="404040"/>
        <w:sz w:val="22"/>
      </w:rPr>
      <w:tcPr>
        <w:shd w:val="clear" w:color="ffffff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</w:tblPr>
    <w:tblStylePr w:type="band1Horz">
      <w:tcPr>
        <w:shd w:val="clear" w:color="ffffff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text1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7f7f7f" w:themeFill="text1" w:themeFillTint="80"/>
        <w:tcBorders>
          <w:top w:val="single" w:color="000000" w:themeColor="tex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</w:tblPr>
    <w:tblStylePr w:type="band1Horz">
      <w:tcPr>
        <w:shd w:val="clear" w:color="ffffff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</w:tblPr>
    <w:tblStylePr w:type="band1Horz">
      <w:tcPr>
        <w:shd w:val="clear" w:color="ffffff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2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f4b185" w:themeFill="accent2" w:themeFillTint="97"/>
        <w:tcBorders>
          <w:top w:val="single" w:color="000000" w:themeColor="accent2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</w:tblPr>
    <w:tblStylePr w:type="band1Horz">
      <w:tcPr>
        <w:shd w:val="clear" w:color="ffffff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3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c9c9c9" w:themeFill="accent3" w:themeFillTint="98"/>
        <w:tcBorders>
          <w:top w:val="single" w:color="000000" w:themeColor="accent3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</w:tblPr>
    <w:tblStylePr w:type="band1Horz">
      <w:tcPr>
        <w:shd w:val="clear" w:color="ffffff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4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ffd864" w:themeFill="accent4" w:themeFillTint="9A"/>
        <w:tcBorders>
          <w:top w:val="single" w:color="000000" w:themeColor="accent4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</w:tblPr>
    <w:tblStylePr w:type="band1Horz">
      <w:tcPr>
        <w:shd w:val="clear" w:color="ffffff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5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8eabdb" w:themeFill="accent5" w:themeFillTint="9A"/>
        <w:tcBorders>
          <w:top w:val="single" w:color="000000" w:themeColor="accent5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</w:tblPr>
    <w:tblStylePr w:type="band1Horz">
      <w:tcPr>
        <w:shd w:val="clear" w:color="ffffff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accent6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aad08f" w:themeFill="accent6" w:themeFillTint="98"/>
        <w:tcBorders>
          <w:top w:val="single" w:color="000000" w:themeColor="accent6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  <w:tblStylePr w:type="wholeTable">
      <w:rPr>
        <w:color w:val="ffffff" w:themeColor="light1"/>
        <w:sz w:val="22"/>
      </w:rPr>
    </w:tblStylePr>
  </w:style>
  <w:style w:type="table" w:styleId="81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color w:val="404040" w:themeColor="text1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sz="4" w:space="0"/>
        </w:tcBorders>
      </w:tcPr>
    </w:tblStylePr>
  </w:style>
  <w:style w:type="table" w:styleId="82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color w:val="404040" w:themeColor="accent1" w:themeShade="95"/>
        <w:sz w:val="22"/>
      </w:rPr>
      <w:tcPr>
        <w:shd w:val="clear" w:color="ffffff" w:fill="d5e6f4" w:themeFill="accent1" w:themeFillTint="40"/>
      </w:tcPr>
    </w:tblStylePr>
    <w:tblStylePr w:type="band1Vert">
      <w:tcPr>
        <w:shd w:val="clear" w:color="ffffff" w:fill="d5e6f4" w:themeFill="accent1" w:themeFillTint="40"/>
      </w:tcPr>
    </w:tblStylePr>
    <w:tblStylePr w:type="band2Horz">
      <w:rPr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color w:val="404040" w:themeColor="accent2" w:themeTint="97" w:themeShade="95"/>
        <w:sz w:val="22"/>
      </w:rPr>
      <w:tcPr>
        <w:shd w:val="clear" w:color="ffffff" w:fill="fadecb" w:themeFill="accent2" w:themeFillTint="40"/>
      </w:tcPr>
    </w:tblStylePr>
    <w:tblStylePr w:type="band1Vert">
      <w:tcPr>
        <w:shd w:val="clear" w:color="ffffff" w:fill="fadecb" w:themeFill="accent2" w:themeFillTint="40"/>
      </w:tcPr>
    </w:tblStylePr>
    <w:tblStylePr w:type="band2Horz">
      <w:rPr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sz="4" w:space="0"/>
        </w:tcBorders>
      </w:tcPr>
    </w:tblStylePr>
  </w:style>
  <w:style w:type="table" w:styleId="82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color w:val="404040" w:themeColor="accent3" w:themeTint="98" w:themeShade="95"/>
        <w:sz w:val="22"/>
      </w:rPr>
      <w:tcPr>
        <w:shd w:val="clear" w:color="ffffff" w:fill="e8e8e8" w:themeFill="accent3" w:themeFillTint="40"/>
      </w:tcPr>
    </w:tblStylePr>
    <w:tblStylePr w:type="band1Vert">
      <w:tcPr>
        <w:shd w:val="clear" w:color="ffffff" w:fill="e8e8e8" w:themeFill="accent3" w:themeFillTint="40"/>
      </w:tcPr>
    </w:tblStylePr>
    <w:tblStylePr w:type="band2Horz">
      <w:rPr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sz="4" w:space="0"/>
        </w:tcBorders>
      </w:tcPr>
    </w:tblStylePr>
  </w:style>
  <w:style w:type="table" w:styleId="82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color w:val="404040" w:themeColor="accent4" w:themeTint="9A" w:themeShade="95"/>
        <w:sz w:val="22"/>
      </w:rPr>
      <w:tcPr>
        <w:shd w:val="clear" w:color="ffffff" w:fill="ffefbf" w:themeFill="accent4" w:themeFillTint="40"/>
      </w:tcPr>
    </w:tblStylePr>
    <w:tblStylePr w:type="band1Vert">
      <w:tcPr>
        <w:shd w:val="clear" w:color="ffffff" w:fill="ffefbf" w:themeFill="accent4" w:themeFillTint="40"/>
      </w:tcPr>
    </w:tblStylePr>
    <w:tblStylePr w:type="band2Horz">
      <w:rPr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sz="4" w:space="0"/>
        </w:tcBorders>
      </w:tcPr>
    </w:tblStylePr>
  </w:style>
  <w:style w:type="table" w:styleId="82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color w:val="404040" w:themeColor="accent5" w:themeTint="9A" w:themeShade="95"/>
        <w:sz w:val="22"/>
      </w:rPr>
      <w:tcPr>
        <w:shd w:val="clear" w:color="ffffff" w:fill="cfdcf0" w:themeFill="accent5" w:themeFillTint="40"/>
      </w:tcPr>
    </w:tblStylePr>
    <w:tblStylePr w:type="band1Vert">
      <w:tcPr>
        <w:shd w:val="clear" w:color="ffffff" w:fill="cfdcf0" w:themeFill="accent5" w:themeFillTint="40"/>
      </w:tcPr>
    </w:tblStylePr>
    <w:tblStylePr w:type="band2Horz">
      <w:rPr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sz="4" w:space="0"/>
        </w:tcBorders>
      </w:tcPr>
    </w:tblStylePr>
  </w:style>
  <w:style w:type="table" w:styleId="82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color w:val="404040" w:themeColor="accent6" w:themeTint="98" w:themeShade="95"/>
        <w:sz w:val="22"/>
      </w:rPr>
      <w:tcPr>
        <w:shd w:val="clear" w:color="ffffff" w:fill="dbebd0" w:themeFill="accent6" w:themeFillTint="40"/>
      </w:tcPr>
    </w:tblStylePr>
    <w:tblStylePr w:type="band1Vert">
      <w:tcPr>
        <w:shd w:val="clear" w:color="ffffff" w:fill="dbebd0" w:themeFill="accent6" w:themeFillTint="40"/>
      </w:tcPr>
    </w:tblStylePr>
    <w:tblStylePr w:type="band2Horz">
      <w:rPr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sz="4" w:space="0"/>
        </w:tcBorders>
      </w:tcPr>
    </w:tblStylePr>
  </w:style>
  <w:style w:type="table" w:styleId="82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color w:val="4a4a4a" w:themeColor="text1" w:themeTint="80" w:themeShade="95"/>
        <w:sz w:val="22"/>
      </w:rPr>
    </w:tblStylePr>
    <w:tblStylePr w:type="firstCol">
      <w:rPr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i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4a4a4a" w:themeColor="text1" w:themeTint="80" w:themeShade="95"/>
        <w:sz w:val="22"/>
      </w:rPr>
    </w:tblStylePr>
  </w:style>
  <w:style w:type="table" w:styleId="82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color w:val="245d8d" w:themeColor="accent1" w:themeShade="95"/>
        <w:sz w:val="22"/>
      </w:rPr>
      <w:tcPr>
        <w:shd w:val="clear" w:color="ffffff" w:fill="d5e6f4" w:themeFill="accent1" w:themeFillTint="40"/>
      </w:tcPr>
    </w:tblStylePr>
    <w:tblStylePr w:type="band1Vert">
      <w:tcPr>
        <w:shd w:val="clear" w:color="ffffff" w:fill="d5e6f4" w:themeFill="accent1" w:themeFillTint="40"/>
      </w:tcPr>
    </w:tblStylePr>
    <w:tblStylePr w:type="band2Horz">
      <w:rPr>
        <w:color w:val="245d8d" w:themeColor="accent1" w:themeShade="95"/>
        <w:sz w:val="22"/>
      </w:rPr>
    </w:tblStylePr>
    <w:tblStylePr w:type="firstCol">
      <w:rPr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i/>
        <w:color w:val="245d8d" w:themeColor="accent1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245d8d" w:themeColor="accent1" w:themeShade="95"/>
        <w:sz w:val="22"/>
      </w:rPr>
      <w:tcPr>
        <w:shd w:val="clear" w:color="ffffff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245d8d" w:themeColor="accent1" w:themeShade="95"/>
        <w:sz w:val="22"/>
      </w:rPr>
    </w:tblStylePr>
  </w:style>
  <w:style w:type="table" w:styleId="82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color w:val="c95712" w:themeColor="accent2" w:themeTint="97" w:themeShade="95"/>
        <w:sz w:val="22"/>
      </w:rPr>
      <w:tcPr>
        <w:shd w:val="clear" w:color="ffffff" w:fill="fadecb" w:themeFill="accent2" w:themeFillTint="40"/>
      </w:tcPr>
    </w:tblStylePr>
    <w:tblStylePr w:type="band1Vert">
      <w:tcPr>
        <w:shd w:val="clear" w:color="ffffff" w:fill="fadecb" w:themeFill="accent2" w:themeFillTint="40"/>
      </w:tcPr>
    </w:tblStylePr>
    <w:tblStylePr w:type="band2Horz">
      <w:rPr>
        <w:color w:val="c95712" w:themeColor="accent2" w:themeTint="97" w:themeShade="95"/>
        <w:sz w:val="22"/>
      </w:rPr>
    </w:tblStylePr>
    <w:tblStylePr w:type="firstCol">
      <w:rPr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sz="4" w:space="0"/>
        </w:tcBorders>
      </w:tcPr>
    </w:tblStylePr>
    <w:tblStylePr w:type="firstRow">
      <w:rPr>
        <w:i/>
        <w:color w:val="c95712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c95712" w:themeColor="accent2" w:themeTint="97" w:themeShade="95"/>
        <w:sz w:val="22"/>
      </w:rPr>
      <w:tcPr>
        <w:shd w:val="clear" w:color="ffffff" w:fill="ffffff" w:themeFill="light1"/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c95712" w:themeColor="accent2" w:themeTint="97" w:themeShade="95"/>
        <w:sz w:val="22"/>
      </w:rPr>
    </w:tblStylePr>
  </w:style>
  <w:style w:type="table" w:styleId="82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color w:val="757575" w:themeColor="accent3" w:themeTint="98" w:themeShade="95"/>
        <w:sz w:val="22"/>
      </w:rPr>
      <w:tcPr>
        <w:shd w:val="clear" w:color="ffffff" w:fill="e8e8e8" w:themeFill="accent3" w:themeFillTint="40"/>
      </w:tcPr>
    </w:tblStylePr>
    <w:tblStylePr w:type="band1Vert">
      <w:tcPr>
        <w:shd w:val="clear" w:color="ffffff" w:fill="e8e8e8" w:themeFill="accent3" w:themeFillTint="40"/>
      </w:tcPr>
    </w:tblStylePr>
    <w:tblStylePr w:type="band2Horz">
      <w:rPr>
        <w:color w:val="757575" w:themeColor="accent3" w:themeTint="98" w:themeShade="95"/>
        <w:sz w:val="22"/>
      </w:rPr>
    </w:tblStylePr>
    <w:tblStylePr w:type="firstCol">
      <w:rPr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sz="4" w:space="0"/>
        </w:tcBorders>
      </w:tcPr>
    </w:tblStylePr>
    <w:tblStylePr w:type="firstRow">
      <w:rPr>
        <w:i/>
        <w:color w:val="757575" w:themeColor="accent3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757575" w:themeColor="accent3" w:themeTint="98" w:themeShade="95"/>
        <w:sz w:val="22"/>
      </w:rPr>
      <w:tcPr>
        <w:shd w:val="clear" w:color="ffffff" w:fill="ffffff" w:themeFill="light1"/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757575" w:themeColor="accent3" w:themeTint="98" w:themeShade="95"/>
        <w:sz w:val="22"/>
      </w:rPr>
    </w:tblStylePr>
  </w:style>
  <w:style w:type="table" w:styleId="83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color w:val="cd9600" w:themeColor="accent4" w:themeTint="9A" w:themeShade="95"/>
        <w:sz w:val="22"/>
      </w:rPr>
      <w:tcPr>
        <w:shd w:val="clear" w:color="ffffff" w:fill="ffefbf" w:themeFill="accent4" w:themeFillTint="40"/>
      </w:tcPr>
    </w:tblStylePr>
    <w:tblStylePr w:type="band1Vert">
      <w:tcPr>
        <w:shd w:val="clear" w:color="ffffff" w:fill="ffefbf" w:themeFill="accent4" w:themeFillTint="40"/>
      </w:tcPr>
    </w:tblStylePr>
    <w:tblStylePr w:type="band2Horz">
      <w:rPr>
        <w:color w:val="cd9600" w:themeColor="accent4" w:themeTint="9A" w:themeShade="95"/>
        <w:sz w:val="22"/>
      </w:rPr>
    </w:tblStylePr>
    <w:tblStylePr w:type="firstCol">
      <w:rPr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sz="4" w:space="0"/>
        </w:tcBorders>
      </w:tcPr>
    </w:tblStylePr>
    <w:tblStylePr w:type="firstRow">
      <w:rPr>
        <w:i/>
        <w:color w:val="cd9600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cd9600" w:themeColor="accent4" w:themeTint="9A" w:themeShade="95"/>
        <w:sz w:val="22"/>
      </w:rPr>
      <w:tcPr>
        <w:shd w:val="clear" w:color="ffffff" w:fill="ffffff" w:themeFill="light1"/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cd9600" w:themeColor="accent4" w:themeTint="9A" w:themeShade="95"/>
        <w:sz w:val="22"/>
      </w:rPr>
    </w:tblStylePr>
  </w:style>
  <w:style w:type="table" w:styleId="83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color w:val="335e9e" w:themeColor="accent5" w:themeTint="9A" w:themeShade="95"/>
        <w:sz w:val="22"/>
      </w:rPr>
      <w:tcPr>
        <w:shd w:val="clear" w:color="ffffff" w:fill="cfdcf0" w:themeFill="accent5" w:themeFillTint="40"/>
      </w:tcPr>
    </w:tblStylePr>
    <w:tblStylePr w:type="band1Vert">
      <w:tcPr>
        <w:shd w:val="clear" w:color="ffffff" w:fill="cfdcf0" w:themeFill="accent5" w:themeFillTint="40"/>
      </w:tcPr>
    </w:tblStylePr>
    <w:tblStylePr w:type="band2Horz">
      <w:rPr>
        <w:color w:val="335e9e" w:themeColor="accent5" w:themeTint="9A" w:themeShade="95"/>
        <w:sz w:val="22"/>
      </w:rPr>
    </w:tblStylePr>
    <w:tblStylePr w:type="firstCol">
      <w:rPr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sz="4" w:space="0"/>
        </w:tcBorders>
      </w:tcPr>
    </w:tblStylePr>
    <w:tblStylePr w:type="firstRow">
      <w:rPr>
        <w:i/>
        <w:color w:val="335e9e" w:themeColor="accent5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335e9e" w:themeColor="accent5" w:themeTint="9A" w:themeShade="95"/>
        <w:sz w:val="22"/>
      </w:rPr>
      <w:tcPr>
        <w:shd w:val="clear" w:color="ffffff" w:fill="ffffff" w:themeFill="light1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335e9e" w:themeColor="accent5" w:themeTint="9A" w:themeShade="95"/>
        <w:sz w:val="22"/>
      </w:rPr>
    </w:tblStylePr>
  </w:style>
  <w:style w:type="table" w:styleId="83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color w:val="5f8f3c" w:themeColor="accent6" w:themeTint="98" w:themeShade="95"/>
        <w:sz w:val="22"/>
      </w:rPr>
      <w:tcPr>
        <w:shd w:val="clear" w:color="ffffff" w:fill="dbebd0" w:themeFill="accent6" w:themeFillTint="40"/>
      </w:tcPr>
    </w:tblStylePr>
    <w:tblStylePr w:type="band1Vert">
      <w:tcPr>
        <w:shd w:val="clear" w:color="ffffff" w:fill="dbebd0" w:themeFill="accent6" w:themeFillTint="40"/>
      </w:tcPr>
    </w:tblStylePr>
    <w:tblStylePr w:type="band2Horz">
      <w:rPr>
        <w:color w:val="5f8f3c" w:themeColor="accent6" w:themeTint="98" w:themeShade="95"/>
        <w:sz w:val="22"/>
      </w:rPr>
    </w:tblStylePr>
    <w:tblStylePr w:type="firstCol">
      <w:rPr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sz="4" w:space="0"/>
        </w:tcBorders>
      </w:tcPr>
    </w:tblStylePr>
    <w:tblStylePr w:type="firstRow">
      <w:rPr>
        <w:i/>
        <w:color w:val="5f8f3c" w:themeColor="accent6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5f8f3c" w:themeColor="accent6" w:themeTint="98" w:themeShade="95"/>
        <w:sz w:val="22"/>
      </w:rPr>
      <w:tcPr>
        <w:shd w:val="clear" w:color="ffffff" w:fill="ffffff" w:themeFill="light1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color w:val="5f8f3c" w:themeColor="accent6" w:themeTint="98" w:themeShade="95"/>
        <w:sz w:val="22"/>
      </w:rPr>
    </w:tblStylePr>
  </w:style>
  <w:style w:type="table" w:styleId="83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2f2f2" w:themeFill="text1" w:themeFillTint="00"/>
      </w:tcPr>
    </w:tblStylePr>
    <w:tblStylePr w:type="band2Vert">
      <w:rPr>
        <w:color w:val="404040"/>
        <w:sz w:val="22"/>
      </w:rPr>
      <w:tcPr>
        <w:shd w:val="clear" w:color="ffffff" w:fill="f2f2f2" w:themeFill="text1" w:themeFillTint="00"/>
      </w:tcPr>
    </w:tblStylePr>
    <w:tblStylePr w:type="firstCol">
      <w:rPr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83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cce0f1" w:themeFill="accent1" w:themeFillTint="50"/>
      </w:tcPr>
    </w:tblStylePr>
    <w:tblStylePr w:type="band2Vert">
      <w:rPr>
        <w:color w:val="404040"/>
        <w:sz w:val="22"/>
      </w:rPr>
      <w:tcPr>
        <w:shd w:val="clear" w:color="ffffff" w:fill="cce0f1" w:themeFill="accent1" w:themeFillTint="50"/>
      </w:tcPr>
    </w:tblStylePr>
    <w:tblStylePr w:type="firstCol">
      <w:rPr>
        <w:color w:val="f2f2f2"/>
        <w:sz w:val="22"/>
      </w:rPr>
      <w:tcPr>
        <w:shd w:val="clear" w:color="ffffff" w:fill="67a4d8" w:themeFill="accent1" w:themeFillTint="EA"/>
      </w:tcPr>
    </w:tblStylePr>
    <w:tblStylePr w:type="firstRow">
      <w:rPr>
        <w:color w:val="f2f2f2"/>
        <w:sz w:val="22"/>
      </w:rPr>
      <w:tcPr>
        <w:shd w:val="clear" w:color="ffffff" w:fill="67a4d8" w:themeFill="accent1" w:themeFillTint="EA"/>
      </w:tcPr>
    </w:tblStylePr>
    <w:tblStylePr w:type="lastCol">
      <w:rPr>
        <w:color w:val="f2f2f2"/>
        <w:sz w:val="22"/>
      </w:rPr>
      <w:tcPr>
        <w:shd w:val="clear" w:color="ffffff" w:fill="67a4d8" w:themeFill="accent1" w:themeFillTint="EA"/>
      </w:tcPr>
    </w:tblStylePr>
    <w:tblStylePr w:type="lastRow">
      <w:rPr>
        <w:color w:val="f2f2f2"/>
        <w:sz w:val="22"/>
      </w:rPr>
      <w:tcPr>
        <w:shd w:val="clear" w:color="ffffff" w:fill="67a4d8" w:themeFill="accent1" w:themeFillTint="EA"/>
      </w:tcPr>
    </w:tblStylePr>
  </w:style>
  <w:style w:type="table" w:styleId="83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be5d6" w:themeFill="accent2" w:themeFillTint="32"/>
      </w:tcPr>
    </w:tblStylePr>
    <w:tblStylePr w:type="band2Vert">
      <w:rPr>
        <w:color w:val="404040"/>
        <w:sz w:val="22"/>
      </w:rPr>
      <w:tcPr>
        <w:shd w:val="clear" w:color="ffffff" w:fill="fbe5d6" w:themeFill="accent2" w:themeFillTint="32"/>
      </w:tcPr>
    </w:tblStylePr>
    <w:tblStylePr w:type="firstCol">
      <w:rPr>
        <w:color w:val="f2f2f2"/>
        <w:sz w:val="22"/>
      </w:rPr>
      <w:tcPr>
        <w:shd w:val="clear" w:color="ffffff" w:fill="f4b185" w:themeFill="accent2" w:themeFillTint="97"/>
      </w:tcPr>
    </w:tblStylePr>
    <w:tblStylePr w:type="firstRow">
      <w:rPr>
        <w:color w:val="f2f2f2"/>
        <w:sz w:val="22"/>
      </w:rPr>
      <w:tcPr>
        <w:shd w:val="clear" w:color="ffffff" w:fill="f4b185" w:themeFill="accent2" w:themeFillTint="97"/>
      </w:tcPr>
    </w:tblStylePr>
    <w:tblStylePr w:type="lastCol">
      <w:rPr>
        <w:color w:val="f2f2f2"/>
        <w:sz w:val="22"/>
      </w:rPr>
      <w:tcPr>
        <w:shd w:val="clear" w:color="ffffff" w:fill="f4b185" w:themeFill="accent2" w:themeFillTint="97"/>
      </w:tcPr>
    </w:tblStylePr>
    <w:tblStylePr w:type="lastRow">
      <w:rPr>
        <w:color w:val="f2f2f2"/>
        <w:sz w:val="22"/>
      </w:rPr>
      <w:tcPr>
        <w:shd w:val="clear" w:color="ffffff" w:fill="f4b185" w:themeFill="accent2" w:themeFillTint="97"/>
      </w:tcPr>
    </w:tblStylePr>
  </w:style>
  <w:style w:type="table" w:styleId="83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ededed" w:themeFill="accent3" w:themeFillTint="34"/>
      </w:tcPr>
    </w:tblStylePr>
    <w:tblStylePr w:type="band2Vert">
      <w:rPr>
        <w:color w:val="404040"/>
        <w:sz w:val="22"/>
      </w:rPr>
      <w:tcPr>
        <w:shd w:val="clear" w:color="ffffff" w:fill="ededed" w:themeFill="accent3" w:themeFillTint="34"/>
      </w:tcPr>
    </w:tblStylePr>
    <w:tblStylePr w:type="firstCol">
      <w:rPr>
        <w:color w:val="f2f2f2"/>
        <w:sz w:val="22"/>
      </w:rPr>
      <w:tcPr>
        <w:shd w:val="clear" w:color="ffffff" w:fill="a5a5a5" w:themeFill="accent3" w:themeFillTint="FE"/>
      </w:tcPr>
    </w:tblStylePr>
    <w:tblStylePr w:type="firstRow">
      <w:rPr>
        <w:color w:val="f2f2f2"/>
        <w:sz w:val="22"/>
      </w:rPr>
      <w:tcPr>
        <w:shd w:val="clear" w:color="ffffff" w:fill="a5a5a5" w:themeFill="accent3" w:themeFillTint="FE"/>
      </w:tcPr>
    </w:tblStylePr>
    <w:tblStylePr w:type="lastCol">
      <w:rPr>
        <w:color w:val="f2f2f2"/>
        <w:sz w:val="22"/>
      </w:rPr>
      <w:tcPr>
        <w:shd w:val="clear" w:color="ffffff" w:fill="a5a5a5" w:themeFill="accent3" w:themeFillTint="FE"/>
      </w:tcPr>
    </w:tblStylePr>
    <w:tblStylePr w:type="lastRow">
      <w:rPr>
        <w:color w:val="f2f2f2"/>
        <w:sz w:val="22"/>
      </w:rPr>
      <w:tcPr>
        <w:shd w:val="clear" w:color="ffffff" w:fill="a5a5a5" w:themeFill="accent3" w:themeFillTint="FE"/>
      </w:tcPr>
    </w:tblStylePr>
  </w:style>
  <w:style w:type="table" w:styleId="83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ef2cb" w:themeFill="accent4" w:themeFillTint="34"/>
      </w:tcPr>
    </w:tblStylePr>
    <w:tblStylePr w:type="band2Vert">
      <w:rPr>
        <w:color w:val="404040"/>
        <w:sz w:val="22"/>
      </w:rPr>
      <w:tcPr>
        <w:shd w:val="clear" w:color="ffffff" w:fill="fef2cb" w:themeFill="accent4" w:themeFillTint="34"/>
      </w:tcPr>
    </w:tblStylePr>
    <w:tblStylePr w:type="firstCol">
      <w:rPr>
        <w:color w:val="f2f2f2"/>
        <w:sz w:val="22"/>
      </w:rPr>
      <w:tcPr>
        <w:shd w:val="clear" w:color="ffffff" w:fill="ffd864" w:themeFill="accent4" w:themeFillTint="9A"/>
      </w:tcPr>
    </w:tblStylePr>
    <w:tblStylePr w:type="firstRow">
      <w:rPr>
        <w:color w:val="f2f2f2"/>
        <w:sz w:val="22"/>
      </w:rPr>
      <w:tcPr>
        <w:shd w:val="clear" w:color="ffffff" w:fill="ffd864" w:themeFill="accent4" w:themeFillTint="9A"/>
      </w:tcPr>
    </w:tblStylePr>
    <w:tblStylePr w:type="lastCol">
      <w:rPr>
        <w:color w:val="f2f2f2"/>
        <w:sz w:val="22"/>
      </w:rPr>
      <w:tcPr>
        <w:shd w:val="clear" w:color="ffffff" w:fill="ffd864" w:themeFill="accent4" w:themeFillTint="9A"/>
      </w:tcPr>
    </w:tblStylePr>
    <w:tblStylePr w:type="lastRow">
      <w:rPr>
        <w:color w:val="f2f2f2"/>
        <w:sz w:val="22"/>
      </w:rPr>
      <w:tcPr>
        <w:shd w:val="clear" w:color="ffffff" w:fill="ffd864" w:themeFill="accent4" w:themeFillTint="9A"/>
      </w:tcPr>
    </w:tblStylePr>
  </w:style>
  <w:style w:type="table" w:styleId="83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d9e2f2" w:themeFill="accent5" w:themeFillTint="34"/>
      </w:tcPr>
    </w:tblStylePr>
    <w:tblStylePr w:type="band2Vert">
      <w:rPr>
        <w:color w:val="404040"/>
        <w:sz w:val="22"/>
      </w:rPr>
      <w:tcPr>
        <w:shd w:val="clear" w:color="ffffff" w:fill="d9e2f2" w:themeFill="accent5" w:themeFillTint="34"/>
      </w:tcPr>
    </w:tblStylePr>
    <w:tblStylePr w:type="firstCol">
      <w:rPr>
        <w:color w:val="f2f2f2"/>
        <w:sz w:val="22"/>
      </w:rPr>
      <w:tcPr>
        <w:shd w:val="clear" w:color="ffffff" w:fill="4472c4" w:themeFill="accent5"/>
      </w:tcPr>
    </w:tblStylePr>
    <w:tblStylePr w:type="firstRow">
      <w:rPr>
        <w:color w:val="f2f2f2"/>
        <w:sz w:val="22"/>
      </w:rPr>
      <w:tcPr>
        <w:shd w:val="clear" w:color="ffffff" w:fill="4472c4" w:themeFill="accent5"/>
      </w:tcPr>
    </w:tblStylePr>
    <w:tblStylePr w:type="lastCol">
      <w:rPr>
        <w:color w:val="f2f2f2"/>
        <w:sz w:val="22"/>
      </w:rPr>
      <w:tcPr>
        <w:shd w:val="clear" w:color="ffffff" w:fill="4472c4" w:themeFill="accent5"/>
      </w:tcPr>
    </w:tblStylePr>
    <w:tblStylePr w:type="lastRow">
      <w:rPr>
        <w:color w:val="f2f2f2"/>
        <w:sz w:val="22"/>
      </w:rPr>
      <w:tcPr>
        <w:shd w:val="clear" w:color="ffffff" w:fill="4472c4" w:themeFill="accent5"/>
      </w:tcPr>
    </w:tblStylePr>
  </w:style>
  <w:style w:type="table" w:styleId="83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e2efd8" w:themeFill="accent6" w:themeFillTint="34"/>
      </w:tcPr>
    </w:tblStylePr>
    <w:tblStylePr w:type="band2Vert">
      <w:rPr>
        <w:color w:val="404040"/>
        <w:sz w:val="22"/>
      </w:rPr>
      <w:tcPr>
        <w:shd w:val="clear" w:color="ffffff" w:fill="e2efd8" w:themeFill="accent6" w:themeFillTint="34"/>
      </w:tcPr>
    </w:tblStylePr>
    <w:tblStylePr w:type="firstCol">
      <w:rPr>
        <w:color w:val="f2f2f2"/>
        <w:sz w:val="22"/>
      </w:rPr>
      <w:tcPr>
        <w:shd w:val="clear" w:color="ffffff" w:fill="70ad47" w:themeFill="accent6"/>
      </w:tcPr>
    </w:tblStylePr>
    <w:tblStylePr w:type="firstRow">
      <w:rPr>
        <w:color w:val="f2f2f2"/>
        <w:sz w:val="22"/>
      </w:rPr>
      <w:tcPr>
        <w:shd w:val="clear" w:color="ffffff" w:fill="70ad47" w:themeFill="accent6"/>
      </w:tcPr>
    </w:tblStylePr>
    <w:tblStylePr w:type="lastCol">
      <w:rPr>
        <w:color w:val="f2f2f2"/>
        <w:sz w:val="22"/>
      </w:rPr>
      <w:tcPr>
        <w:shd w:val="clear" w:color="ffffff" w:fill="70ad47" w:themeFill="accent6"/>
      </w:tcPr>
    </w:tblStylePr>
    <w:tblStylePr w:type="lastRow">
      <w:rPr>
        <w:color w:val="f2f2f2"/>
        <w:sz w:val="22"/>
      </w:rPr>
      <w:tcPr>
        <w:shd w:val="clear" w:color="ffffff" w:fill="70ad47" w:themeFill="accent6"/>
      </w:tcPr>
    </w:tblStylePr>
  </w:style>
  <w:style w:type="table" w:styleId="84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2f2f2" w:themeFill="text1" w:themeFillTint="00"/>
      </w:tcPr>
    </w:tblStylePr>
    <w:tblStylePr w:type="band2Vert">
      <w:rPr>
        <w:color w:val="404040"/>
        <w:sz w:val="22"/>
      </w:rPr>
      <w:tcPr>
        <w:shd w:val="clear" w:color="ffffff" w:fill="f2f2f2" w:themeFill="text1" w:themeFillTint="00"/>
      </w:tcPr>
    </w:tblStylePr>
    <w:tblStylePr w:type="firstCol">
      <w:rPr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84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  <w:insideH w:val="single" w:color="000000" w:themeColor="accent1" w:sz="4" w:space="0"/>
        <w:insideV w:val="single" w:color="000000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cce0f1" w:themeFill="accent1" w:themeFillTint="50"/>
      </w:tcPr>
    </w:tblStylePr>
    <w:tblStylePr w:type="band2Vert">
      <w:rPr>
        <w:color w:val="404040"/>
        <w:sz w:val="22"/>
      </w:rPr>
      <w:tcPr>
        <w:shd w:val="clear" w:color="ffffff" w:fill="cce0f1" w:themeFill="accent1" w:themeFillTint="50"/>
      </w:tcPr>
    </w:tblStylePr>
    <w:tblStylePr w:type="firstCol">
      <w:rPr>
        <w:color w:val="f2f2f2"/>
        <w:sz w:val="22"/>
      </w:rPr>
      <w:tcPr>
        <w:shd w:val="clear" w:color="ffffff" w:fill="67a4d8" w:themeFill="accent1" w:themeFillTint="EA"/>
      </w:tcPr>
    </w:tblStylePr>
    <w:tblStylePr w:type="firstRow">
      <w:rPr>
        <w:color w:val="f2f2f2"/>
        <w:sz w:val="22"/>
      </w:rPr>
      <w:tcPr>
        <w:shd w:val="clear" w:color="ffffff" w:fill="67a4d8" w:themeFill="accent1" w:themeFillTint="EA"/>
      </w:tcPr>
    </w:tblStylePr>
    <w:tblStylePr w:type="lastCol">
      <w:rPr>
        <w:color w:val="f2f2f2"/>
        <w:sz w:val="22"/>
      </w:rPr>
      <w:tcPr>
        <w:shd w:val="clear" w:color="ffffff" w:fill="67a4d8" w:themeFill="accent1" w:themeFillTint="EA"/>
      </w:tcPr>
    </w:tblStylePr>
    <w:tblStylePr w:type="lastRow">
      <w:rPr>
        <w:color w:val="f2f2f2"/>
        <w:sz w:val="22"/>
      </w:rPr>
      <w:tcPr>
        <w:shd w:val="clear" w:color="ffffff" w:fill="67a4d8" w:themeFill="accent1" w:themeFillTint="EA"/>
      </w:tcPr>
    </w:tblStylePr>
  </w:style>
  <w:style w:type="table" w:styleId="84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sz="4" w:space="0"/>
        <w:left w:val="single" w:color="000000" w:themeColor="accent2" w:sz="4" w:space="0"/>
        <w:bottom w:val="single" w:color="000000" w:themeColor="accent2" w:sz="4" w:space="0"/>
        <w:right w:val="single" w:color="000000" w:themeColor="accent2" w:sz="4" w:space="0"/>
        <w:insideH w:val="single" w:color="000000" w:themeColor="accent2" w:sz="4" w:space="0"/>
        <w:insideV w:val="single" w:color="000000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be5d6" w:themeFill="accent2" w:themeFillTint="32"/>
      </w:tcPr>
    </w:tblStylePr>
    <w:tblStylePr w:type="band2Vert">
      <w:rPr>
        <w:color w:val="404040"/>
        <w:sz w:val="22"/>
      </w:rPr>
      <w:tcPr>
        <w:shd w:val="clear" w:color="ffffff" w:fill="fbe5d6" w:themeFill="accent2" w:themeFillTint="32"/>
      </w:tcPr>
    </w:tblStylePr>
    <w:tblStylePr w:type="firstCol">
      <w:rPr>
        <w:color w:val="f2f2f2"/>
        <w:sz w:val="22"/>
      </w:rPr>
      <w:tcPr>
        <w:shd w:val="clear" w:color="ffffff" w:fill="f4b185" w:themeFill="accent2" w:themeFillTint="97"/>
      </w:tcPr>
    </w:tblStylePr>
    <w:tblStylePr w:type="firstRow">
      <w:rPr>
        <w:color w:val="f2f2f2"/>
        <w:sz w:val="22"/>
      </w:rPr>
      <w:tcPr>
        <w:shd w:val="clear" w:color="ffffff" w:fill="f4b185" w:themeFill="accent2" w:themeFillTint="97"/>
      </w:tcPr>
    </w:tblStylePr>
    <w:tblStylePr w:type="lastCol">
      <w:rPr>
        <w:color w:val="f2f2f2"/>
        <w:sz w:val="22"/>
      </w:rPr>
      <w:tcPr>
        <w:shd w:val="clear" w:color="ffffff" w:fill="f4b185" w:themeFill="accent2" w:themeFillTint="97"/>
      </w:tcPr>
    </w:tblStylePr>
    <w:tblStylePr w:type="lastRow">
      <w:rPr>
        <w:color w:val="f2f2f2"/>
        <w:sz w:val="22"/>
      </w:rPr>
      <w:tcPr>
        <w:shd w:val="clear" w:color="ffffff" w:fill="f4b185" w:themeFill="accent2" w:themeFillTint="97"/>
      </w:tcPr>
    </w:tblStylePr>
  </w:style>
  <w:style w:type="table" w:styleId="84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sz="4" w:space="0"/>
        <w:left w:val="single" w:color="000000" w:themeColor="accent3" w:sz="4" w:space="0"/>
        <w:bottom w:val="single" w:color="000000" w:themeColor="accent3" w:sz="4" w:space="0"/>
        <w:right w:val="single" w:color="000000" w:themeColor="accent3" w:sz="4" w:space="0"/>
        <w:insideH w:val="single" w:color="000000" w:themeColor="accent3" w:sz="4" w:space="0"/>
        <w:insideV w:val="single" w:color="000000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ededed" w:themeFill="accent3" w:themeFillTint="34"/>
      </w:tcPr>
    </w:tblStylePr>
    <w:tblStylePr w:type="band2Vert">
      <w:rPr>
        <w:color w:val="404040"/>
        <w:sz w:val="22"/>
      </w:rPr>
      <w:tcPr>
        <w:shd w:val="clear" w:color="ffffff" w:fill="ededed" w:themeFill="accent3" w:themeFillTint="34"/>
      </w:tcPr>
    </w:tblStylePr>
    <w:tblStylePr w:type="firstCol">
      <w:rPr>
        <w:color w:val="f2f2f2"/>
        <w:sz w:val="22"/>
      </w:rPr>
      <w:tcPr>
        <w:shd w:val="clear" w:color="ffffff" w:fill="a5a5a5" w:themeFill="accent3" w:themeFillTint="FE"/>
      </w:tcPr>
    </w:tblStylePr>
    <w:tblStylePr w:type="firstRow">
      <w:rPr>
        <w:color w:val="f2f2f2"/>
        <w:sz w:val="22"/>
      </w:rPr>
      <w:tcPr>
        <w:shd w:val="clear" w:color="ffffff" w:fill="a5a5a5" w:themeFill="accent3" w:themeFillTint="FE"/>
      </w:tcPr>
    </w:tblStylePr>
    <w:tblStylePr w:type="lastCol">
      <w:rPr>
        <w:color w:val="f2f2f2"/>
        <w:sz w:val="22"/>
      </w:rPr>
      <w:tcPr>
        <w:shd w:val="clear" w:color="ffffff" w:fill="a5a5a5" w:themeFill="accent3" w:themeFillTint="FE"/>
      </w:tcPr>
    </w:tblStylePr>
    <w:tblStylePr w:type="lastRow">
      <w:rPr>
        <w:color w:val="f2f2f2"/>
        <w:sz w:val="22"/>
      </w:rPr>
      <w:tcPr>
        <w:shd w:val="clear" w:color="ffffff" w:fill="a5a5a5" w:themeFill="accent3" w:themeFillTint="FE"/>
      </w:tcPr>
    </w:tblStylePr>
  </w:style>
  <w:style w:type="table" w:styleId="84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sz="4" w:space="0"/>
        <w:left w:val="single" w:color="000000" w:themeColor="accent4" w:sz="4" w:space="0"/>
        <w:bottom w:val="single" w:color="000000" w:themeColor="accent4" w:sz="4" w:space="0"/>
        <w:right w:val="single" w:color="000000" w:themeColor="accent4" w:sz="4" w:space="0"/>
        <w:insideH w:val="single" w:color="000000" w:themeColor="accent4" w:sz="4" w:space="0"/>
        <w:insideV w:val="single" w:color="000000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ef2cb" w:themeFill="accent4" w:themeFillTint="34"/>
      </w:tcPr>
    </w:tblStylePr>
    <w:tblStylePr w:type="band2Vert">
      <w:rPr>
        <w:color w:val="404040"/>
        <w:sz w:val="22"/>
      </w:rPr>
      <w:tcPr>
        <w:shd w:val="clear" w:color="ffffff" w:fill="fef2cb" w:themeFill="accent4" w:themeFillTint="34"/>
      </w:tcPr>
    </w:tblStylePr>
    <w:tblStylePr w:type="firstCol">
      <w:rPr>
        <w:color w:val="f2f2f2"/>
        <w:sz w:val="22"/>
      </w:rPr>
      <w:tcPr>
        <w:shd w:val="clear" w:color="ffffff" w:fill="ffd864" w:themeFill="accent4" w:themeFillTint="9A"/>
      </w:tcPr>
    </w:tblStylePr>
    <w:tblStylePr w:type="firstRow">
      <w:rPr>
        <w:color w:val="f2f2f2"/>
        <w:sz w:val="22"/>
      </w:rPr>
      <w:tcPr>
        <w:shd w:val="clear" w:color="ffffff" w:fill="ffd864" w:themeFill="accent4" w:themeFillTint="9A"/>
      </w:tcPr>
    </w:tblStylePr>
    <w:tblStylePr w:type="lastCol">
      <w:rPr>
        <w:color w:val="f2f2f2"/>
        <w:sz w:val="22"/>
      </w:rPr>
      <w:tcPr>
        <w:shd w:val="clear" w:color="ffffff" w:fill="ffd864" w:themeFill="accent4" w:themeFillTint="9A"/>
      </w:tcPr>
    </w:tblStylePr>
    <w:tblStylePr w:type="lastRow">
      <w:rPr>
        <w:color w:val="f2f2f2"/>
        <w:sz w:val="22"/>
      </w:rPr>
      <w:tcPr>
        <w:shd w:val="clear" w:color="ffffff" w:fill="ffd864" w:themeFill="accent4" w:themeFillTint="9A"/>
      </w:tcPr>
    </w:tblStylePr>
  </w:style>
  <w:style w:type="table" w:styleId="84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d9e2f2" w:themeFill="accent5" w:themeFillTint="34"/>
      </w:tcPr>
    </w:tblStylePr>
    <w:tblStylePr w:type="band2Vert">
      <w:rPr>
        <w:color w:val="404040"/>
        <w:sz w:val="22"/>
      </w:rPr>
      <w:tcPr>
        <w:shd w:val="clear" w:color="ffffff" w:fill="d9e2f2" w:themeFill="accent5" w:themeFillTint="34"/>
      </w:tcPr>
    </w:tblStylePr>
    <w:tblStylePr w:type="firstCol">
      <w:rPr>
        <w:color w:val="f2f2f2"/>
        <w:sz w:val="22"/>
      </w:rPr>
      <w:tcPr>
        <w:shd w:val="clear" w:color="ffffff" w:fill="4472c4" w:themeFill="accent5"/>
      </w:tcPr>
    </w:tblStylePr>
    <w:tblStylePr w:type="firstRow">
      <w:rPr>
        <w:color w:val="f2f2f2"/>
        <w:sz w:val="22"/>
      </w:rPr>
      <w:tcPr>
        <w:shd w:val="clear" w:color="ffffff" w:fill="4472c4" w:themeFill="accent5"/>
      </w:tcPr>
    </w:tblStylePr>
    <w:tblStylePr w:type="lastCol">
      <w:rPr>
        <w:color w:val="f2f2f2"/>
        <w:sz w:val="22"/>
      </w:rPr>
      <w:tcPr>
        <w:shd w:val="clear" w:color="ffffff" w:fill="4472c4" w:themeFill="accent5"/>
      </w:tcPr>
    </w:tblStylePr>
    <w:tblStylePr w:type="lastRow">
      <w:rPr>
        <w:color w:val="f2f2f2"/>
        <w:sz w:val="22"/>
      </w:rPr>
      <w:tcPr>
        <w:shd w:val="clear" w:color="ffffff" w:fill="4472c4" w:themeFill="accent5"/>
      </w:tcPr>
    </w:tblStylePr>
  </w:style>
  <w:style w:type="table" w:styleId="84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e2efd8" w:themeFill="accent6" w:themeFillTint="34"/>
      </w:tcPr>
    </w:tblStylePr>
    <w:tblStylePr w:type="band2Vert">
      <w:rPr>
        <w:color w:val="404040"/>
        <w:sz w:val="22"/>
      </w:rPr>
      <w:tcPr>
        <w:shd w:val="clear" w:color="ffffff" w:fill="e2efd8" w:themeFill="accent6" w:themeFillTint="34"/>
      </w:tcPr>
    </w:tblStylePr>
    <w:tblStylePr w:type="firstCol">
      <w:rPr>
        <w:color w:val="f2f2f2"/>
        <w:sz w:val="22"/>
      </w:rPr>
      <w:tcPr>
        <w:shd w:val="clear" w:color="ffffff" w:fill="70ad47" w:themeFill="accent6"/>
      </w:tcPr>
    </w:tblStylePr>
    <w:tblStylePr w:type="firstRow">
      <w:rPr>
        <w:color w:val="f2f2f2"/>
        <w:sz w:val="22"/>
      </w:rPr>
      <w:tcPr>
        <w:shd w:val="clear" w:color="ffffff" w:fill="70ad47" w:themeFill="accent6"/>
      </w:tcPr>
    </w:tblStylePr>
    <w:tblStylePr w:type="lastCol">
      <w:rPr>
        <w:color w:val="f2f2f2"/>
        <w:sz w:val="22"/>
      </w:rPr>
      <w:tcPr>
        <w:shd w:val="clear" w:color="ffffff" w:fill="70ad47" w:themeFill="accent6"/>
      </w:tcPr>
    </w:tblStylePr>
    <w:tblStylePr w:type="lastRow">
      <w:rPr>
        <w:color w:val="f2f2f2"/>
        <w:sz w:val="22"/>
      </w:rPr>
      <w:tcPr>
        <w:shd w:val="clear" w:color="ffffff" w:fill="70ad47" w:themeFill="accent6"/>
      </w:tcPr>
    </w:tblStylePr>
  </w:style>
  <w:style w:type="table" w:styleId="84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text1" w:sz="12" w:space="0"/>
        </w:tcBorders>
      </w:tcPr>
    </w:tblStylePr>
  </w:style>
  <w:style w:type="table" w:styleId="84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accent2" w:sz="12" w:space="0"/>
        </w:tcBorders>
      </w:tcPr>
    </w:tblStylePr>
  </w:style>
  <w:style w:type="table" w:styleId="85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accent3" w:sz="12" w:space="0"/>
        </w:tcBorders>
      </w:tcPr>
    </w:tblStylePr>
  </w:style>
  <w:style w:type="table" w:styleId="85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accent4" w:sz="12" w:space="0"/>
        </w:tcBorders>
      </w:tcPr>
    </w:tblStylePr>
  </w:style>
  <w:style w:type="table" w:styleId="85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accent5" w:sz="12" w:space="0"/>
        </w:tcBorders>
      </w:tcPr>
    </w:tblStylePr>
  </w:style>
  <w:style w:type="table" w:styleId="85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accent6" w:sz="12" w:space="0"/>
        </w:tcBorders>
      </w:tcPr>
    </w:tblStylePr>
  </w:style>
  <w:style w:type="table" w:styleId="854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media1.svg"/><Relationship Id="rId13" Type="http://schemas.openxmlformats.org/officeDocument/2006/relationships/hyperlink" Target="consultantplus://offline/ref=E0C1A6EF60EBA1D6D363CDA0A89FB7B123F3077E015DDA521465D20813A05BE8B853A49227B2823BD919929748F2755362D59762237AB15BcBLCG" TargetMode="External"/><Relationship Id="rId14" Type="http://schemas.openxmlformats.org/officeDocument/2006/relationships/hyperlink" Target="consultantplus://offline/ref=E0C1A6EF60EBA1D6D363D3ADBEF3E9B829F050760058D2054D31D45F4CF05DBDF813A2C764F68A39D112C7C70AAC2C032F9E9A623466B158A0D9C552c1L6G" TargetMode="External"/><Relationship Id="rId15" Type="http://schemas.openxmlformats.org/officeDocument/2006/relationships/hyperlink" Target="http://www.nsopravo.ru/" TargetMode="External"/><Relationship Id="rId16" Type="http://schemas.openxmlformats.org/officeDocument/2006/relationships/hyperlink" Target="http://mtsr.nso.ru/sites/mtsr.nso.ru/wodby_files/files/page_8239/reestr_obyazat_trebovaniy.xlsx" TargetMode="External"/><Relationship Id="rId17" Type="http://schemas.openxmlformats.org/officeDocument/2006/relationships/hyperlink" Target="http://mtsr.nso.ru/sites/mtsr.nso.ru/wodby_files/files/page_8306/postanovlenie.pdf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EE244-70BF-475D-A515-0E4B85311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Скоромных Наталья Юрьевна</dc:creator>
  <dc:description/>
  <dc:language>ru-RU</dc:language>
  <cp:revision>48</cp:revision>
  <dcterms:created xsi:type="dcterms:W3CDTF">2023-01-26T10:47:00Z</dcterms:created>
  <dcterms:modified xsi:type="dcterms:W3CDTF">2025-03-03T02:45:39Z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