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236"/>
        <w:gridCol w:w="3544"/>
      </w:tblGrid>
      <w:tr>
        <w:tblPrEx/>
        <w:trPr>
          <w:jc w:val="center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2605" cy="553085"/>
                      <wp:effectExtent l="1905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260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15pt;height:43.55pt;mso-wrap-distance-left:0.00pt;mso-wrap-distance-top:0.00pt;mso-wrap-distance-right:0.00pt;mso-wrap-distance-bottom:0.0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tabs>
                <w:tab w:val="left" w:pos="409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№ 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 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доклада, содержащего результаты обобщения правоприменительной практики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министерства труда и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социального развития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осуществлении регионального государственного контроля (надзора) в сфере социального обслуживания по итогам 2023 года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</w:t>
      </w:r>
      <w:hyperlink r:id="rId11" w:tooltip="consultantplus://offline/ref=E0C1A6EF60EBA1D6D363CDA0A89FB7B123F3077E015DDA521465D20813A05BE8B853A49227B2823BD919929748F2755362D59762237AB15BcBLCG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пунктом 4 стат</w:t>
        </w:r>
        <w:r>
          <w:rPr>
            <w:rFonts w:ascii="Times New Roman" w:hAnsi="Times New Roman" w:eastAsia="Calibri" w:cs="Times New Roman"/>
            <w:sz w:val="28"/>
            <w:szCs w:val="28"/>
          </w:rPr>
          <w:t xml:space="preserve">ьи 47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закона от 31.07.2020 № 248-ФЗ «О  государственном контроле (надзоре) и муниципальном контроле в Российской Федерации», </w:t>
      </w:r>
      <w:hyperlink r:id="rId12" w:tooltip="consultantplus://offline/ref=E0C1A6EF60EBA1D6D363D3ADBEF3E9B829F050760058D2054D31D45F4CF05DBDF813A2C764F68A39D112C7C70AAC2C032F9E9A623466B158A0D9C552c1L6G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пунктом 22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 Положения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региональном государственном контроле (надзоре) в сфере социального обслуживания, утвержденного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Новос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ибирской области от 20.09.2021 № 363-п «Об утверждении Положения о региональном государственном контроле (надзоре) в сфере социального обслуживания»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доклад, содержащий результаты обобщения правоприменительной практики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труда и социального развития Новосибирской области при осуществлении регионального государственного контроля (надзора) в сфере социального обслуживания по итогам 2023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приказа оставляю за собой.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Е.В.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труда и социального развития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____________ № 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ДОКЛАД,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содержащий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результаты обобщения правоприменительной практики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министерства труда и социального развития Новосибирской области при осуществлении регионального государственного контроля (надзора) в сфере социального обслуживания по итогам 2023 года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Состояние нормативно-правового регулирования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в соответствующей сфере деятельности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течение 2023 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 полномочия по осуществлению регионального государственного контроля (надзора) в сфере социального обслуживания (далее – государственный контроль (надзор)) выполняло министерство труда и социального развития Новосибирской области (далее – министерство).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(далее – Перечень актов) размещен на официальном сайте контрольного органа в сп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ециально созданном отдельном подразделе «Обязательные требования» (далее – подраздел) раздела «Деятельность/Контрольно-надзорная деятельность».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Созданный подраздел содержит информацию о реализации профилактических мероприятий, на котором размещен перечень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текстами в действующей редакции (далее – Перечень актов).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подразделе реализован механизм обратной связи, позволяющий направить обращения, связанные с содержанием, ведением и применением Перечня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актов, актуализированных в формате, досту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пном для скачивания и пригодном для обработки в текстовых редакторах, со ссылками на тексты и активными гиперссылками размещен в подразделе. Открытие гиперссылки позволяет получить доступ к полному тексту соответствующего нормативного правового акта для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осмотра в форматах, доступных для скачивания и пригодных для обработки в текстовых редакторах. Все нормативные правовые акты, включенные в Перечень актов, поддерживаются в актуальном состоянии. При внесении изменений нормативные правовые акты, включенные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Перечень актов, оперативно обновляются.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актов размещен также на официальном сайте Правительства Новосибирской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(http://www.nso.ru),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сетевом издании «Официальный интернат-портал правовой информации Новосибирской области»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hyperlink r:id="rId13" w:tooltip="http://www.nsopravo.ru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http://www.nsopravo.ru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разделе «Деятельность/Контрольно-надзорная деятельность/Обязательные требования» размещено </w:t>
      </w:r>
      <w:hyperlink w:tooltip="#P31" w:anchor="P31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Руководство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соблюдению обязательных требований в сфере социального обслуживания (далее – Руководство), утвержденное приказом министерства труда и социальной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защиты Российской Федерации, Федеральной службой по труду и занятости от 20.04.2022 №  101 «Об утверждении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Данное Руководство разработано Федеральной службой по труду и занятости с 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предотвращения нарушений законодательства в сфере социального обслуживания и содержит рекомендации по соблюдению обязательных требований, касающихся ведения документации контролируемыми лицами, размещения и обновления информации о контролируемом лице,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том числе на официальном сайте контролируемого лица в информационно-телекоммуникационной сети «Интернет», порядка организации деятельности контролируемых лиц, а также организации предоставления социальных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контролируемыми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исполнение постано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вления Губернатора Новосибирской области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28.07.2022 № 136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вных правовых актов Новосибирской области» сформирован </w:t>
      </w:r>
      <w:hyperlink r:id="rId14" w:tooltip="http://mtsr.nso.ru/sites/mtsr.nso.ru/wodby_files/files/page_8239/reestr_obyazat_trebovaniy.xlsx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Реестр обязательных требований контрольного органа, осуществляющего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, опеки и попечител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ьства, отдыха и оздоровления отдельных категорий граждан, в том числе детей, на территории Новосибирской области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– Реестр обязательных требований).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Реестр обязательных требований размещен в разделе «Деятельность/Контрольно-надзорная деятельность/Об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язательные требования».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официальном сайте контрольного органа: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разделе «Деятельность/Контрольно-надзорная деятельность/Положения о видах регионального государственного контроля» размещено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Положение о региональном государственном контроле (надзоре)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сфере социального обслуживания, утвержденное </w:t>
      </w:r>
      <w:hyperlink r:id="rId15" w:tooltip="http://mtsr.nso.ru/sites/mtsr.nso.ru/wodby_files/files/page_8306/postanovlenie.pdf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постановлением Правител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ьства Новосибирской области от 20.09.2021 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 363-п «Об утверждении Положения о региональном государственном контроле (надзоре) в сфере социального обслуживания» (далее – постановление № 363-п);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разделе «Деятельность/Контрольно-надзорная деятельность/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Све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дения о способах получения консультаций по соблюдению обязательных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требований» размещены сведения о способах получения консультаций по вопросам соблюдения обязательных требований при осуществлении регионального контроля (надзора).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2023 году в региональны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е нормативные правовые акты, включенные в Перечень актов, внесены следующие изменения: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приказ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ом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министерства  от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17.02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193-НПА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«О внесении изменений в приказ министерства социального развития Новосибирской области от 23.12.2014 № 1446»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внесены изменения  в приказ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№ 144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6 с целью внесения изменений в перечень социальных услуг по уходу, включаемых в социальный пакет долговременного ухода, а также в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периодичность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объем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предоставления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данных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социальных услуг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соответствии с приказом Минис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терства труда и социальной защиты Российской Федерации от 15.12.2022 № 781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нуждающимися в уходе»</w:t>
      </w:r>
      <w:r>
        <w:rPr>
          <w:rFonts w:ascii="Times New Roman" w:hAnsi="Times New Roman" w:eastAsia="Times New Roman" w:cs="Times New Roman"/>
          <w:color w:val="000000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pStyle w:val="696"/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В 2023 году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утверждены следующие правовые акты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: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</w:t>
        <w:tab/>
        <w:t xml:space="preserve">-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приказ м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истерства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труда и соц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иального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развития Новоси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бирской области от 31.05.2023 №  788-НПА «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Об утверждении порядка мониторинга функционирования системы долговременного ухода за гражданами пожилого возраста и инвалидами, нуждающимися в уходе, осуществля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емого регио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нальным координационным центром»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lang w:eastAsia="en-US"/>
        </w:rPr>
        <w:t xml:space="preserve">утвержден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lang w:eastAsia="en-US"/>
        </w:rPr>
        <w:t xml:space="preserve"> порядок мониторинга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функционирования системы долговременного ухода за гражданами пожилого возраста и инвалидами, нуждающимися в уходе, осуществляемого региональным координационным центром.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719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highlight w:val="none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 приказ м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инистерства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труда и социального развития Новосибирской области от 14.09.2023 № 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1623 «О проведении конкурсного отбора»;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719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eastAsia="Times New Roman" w:cs="Times New Roman"/>
          <w:color w:val="000000"/>
          <w:highlight w:val="none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 от 14.09.2023 № 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1624-НПА «О порядке деятельности конкурсной комиссии по проведению конкурсного отбора некоммерческих организаций, не являющихся государственн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ыми (муниципальными) учреждениями, для оказания услуг в сфере социального обслуживания граждан в целях реализации пилотного проекта по созданию системы долговременного ухода за гражданами пожилого возраста и инвалидами на территории Новосибирской области».</w:t>
      </w:r>
      <w:r>
        <w:rPr>
          <w:rFonts w:ascii="Times New Roman" w:hAnsi="Times New Roman" w:cs="Times New Roman"/>
          <w:color w:val="000000"/>
          <w:highlight w:val="white"/>
        </w:rPr>
      </w:r>
      <w:r/>
    </w:p>
    <w:p>
      <w:pPr>
        <w:ind w:firstLine="567"/>
        <w:jc w:val="both"/>
        <w:spacing w:after="0" w:afterAutospacing="0"/>
        <w:rPr>
          <w:rFonts w:ascii="Times New Roman" w:hAnsi="Times New Roman" w:eastAsia="Times New Roman" w:cs="Times New Roman"/>
          <w:b/>
          <w:bCs/>
          <w:color w:val="00000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  <w:t xml:space="preserve">В 2023 году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  <w:t xml:space="preserve">отменены </w:t>
      </w:r>
      <w:r>
        <w:rPr>
          <w:rFonts w:ascii="Times New Roman" w:hAnsi="Times New Roman" w:eastAsia="Times New Roman" w:cs="Times New Roman"/>
          <w:color w:val="000000"/>
          <w:highlight w:val="white"/>
          <w:lang w:eastAsia="en-US"/>
        </w:rPr>
        <w:t xml:space="preserve">следующие правовые акты</w:t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</w:r>
      <w:r>
        <w:rPr>
          <w:rFonts w:ascii="Times New Roman" w:hAnsi="Times New Roman" w:eastAsia="Times New Roman" w:cs="Times New Roman"/>
          <w:b/>
          <w:bCs/>
          <w:color w:val="000000"/>
          <w:highlight w:val="none"/>
          <w:lang w:eastAsia="en-US"/>
        </w:rPr>
      </w:r>
    </w:p>
    <w:p>
      <w:pPr>
        <w:pStyle w:val="696"/>
        <w:ind w:firstLine="567"/>
        <w:jc w:val="both"/>
        <w:spacing w:after="0" w:afterAutospacing="0"/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- приказом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от 04.05.2023 № 594-НПА «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 признании утратившими силу отдельных приказов и пункта приказа министерства труда и социального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 развития Новосибирской области»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lang w:eastAsia="en-US"/>
        </w:rPr>
        <w:t xml:space="preserve">признаны утратившими силу: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highlight w:val="none"/>
          <w:lang w:eastAsia="en-US"/>
        </w:rPr>
      </w:r>
    </w:p>
    <w:p>
      <w:pPr>
        <w:pStyle w:val="696"/>
        <w:ind w:firstLine="567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от 13.04.2021 № 317 «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Об утверждении Примерного положения о пункте проката технических средств реабилитации, выдаваемых в рамка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х системы долговременного ухода»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96"/>
        <w:ind w:firstLine="567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от 16.04.2021 № 332 «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О создании координационного центра системы долговременного ухода за гражданами пожилого возраста и инвалидами на т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ерритории Новосибирской области».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Организация государственного контроля (надзо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Предметом государственного контроля (надзора) является соблюдение поставщиками социальных услуг из числа юридических лиц независимо от организационно-правовой формы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(или) индивидуальных предпринимателей, осуществляющих социальное обслуживание (далее – контролируемые лица), требований Федерального закона от 28.12.2013 № 442-ФЗ «Об основах социального обслуживания граждан в Российской Федерации», других федеральных зако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 и иных нормативных правовых актов Российской Федерации, а также законов и иных нормативных правовых актов Новосибирской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регулирующих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правоотношения в сфере социального обслуживания.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Посредством осуществления государственного контроля (надзора)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обеспечивается соблюдение требований Федерального закона от 24.11.1995 № 181-ФЗ «О социальной защите инвалидов в Российской Федерации», других федеральных законов и иных нормативных правовых актов Российской Федерации, законов и иных нормативных правовых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актов Новосибирской области,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необходимой помощи.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Министерство осуществляет государстве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нный контроль (надзор) в отношении контролируемых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 осуществлении регионального контроля (надзора) контрольный орган взаимодействовал с другими органами государственного контроля (надзора) при согласовании сроков проведения плановых проверок (в том числе прокуратурой Новосибирской области).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 о проведении проверки, об уведомлении контролируемого 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ица о проведении проверки, о результатах проверки и мерах, принятых по результатам проверки размещается в государственной информационной системе «Типовое облачное решение по автоматизации контрольной надзорной - деятельности» (далее – ГИС ТОР КНД)  и в фед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еральной государственной информационной системе «Единый реестр проверок» (https://proverki.gov.ru) в соответствии с требованиями, установленными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28.04.2015 № 415 «О Правилах формирования и ведения единог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реестра проверок», а также на официальном сайте контрольного органа в разделе «Деятельность/Контрольно-надзорная деятельность/Результаты проверок в рамках осуществления регионального государственного контроля (надзора)».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соответствии с постановлением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равительства Российской Федерации   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трольных (надзорных) мероприятий в течение года» контрольным органом в прокуратуру Новосибирской области направлялся на согласование проект ежегодного плана проведения плановых контрольных (надзорных) мероприятий на 2023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год (далее – план КНМ), сформирован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ный в машиночитаемом формате с использованием ГИС ТОР КНД.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соответствии с Перечнем поручений по итогам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en-US" w:eastAsia="ru-RU"/>
        </w:rPr>
        <w:t xml:space="preserve">XXV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Петербургского международного экономического форума, утвержденным Президентом Российской Федерации от 20.07.2022 №  Пр-1269, в план КНМ включены объ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екты, отнесенные к высокому риску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Критерии отнесения объектов регионального контроля (надзора) к категориям риска в рамках осуществления регионального контроля (надзора) определены в приложении к Положению о региональном государственном контроле (надзоре)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сфере социального обслуживания, утвержденному постановлением № 363-п.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Реестр контролируемых лиц при осуществлении регионального контроля (надзора) в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году размещен на официальном сайте контрольного органа в разделе «Деятельность/Контрольно-надзорная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деятельность/Результаты проверок в рамках осуществления регионального государственного контроля (надзора)»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формировании ежегодных планов проведения плановых проверок контролируемых лиц в обязательном порядке предусматривается проведение мероприятий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осуществлению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контроля за обеспечением доступности для инвалидов объектов и услуг, подлежащих проверке в отчетном периоде, с целью своевременного выявления и пресечения нарушений в сфере обеспечения доступности объектов социального обслуживания и социаль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услуг для маломобильных групп населения и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Финансовое и кадровое обеспечение государственного контроля (надзора)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должностных лиц министерства уполномоченных осуществлять государственный контроль (надзор) утвержден поста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новлением № 363-п.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Количество штатных единиц по должностям, предусматривающим выполнение функций по контролю (надзору) в сфере социального обслуживания, составило 13 единиц.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Обеспечение деятельности по осуществлению регионального контроля в отчетном период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осуществлялось за счет средств областного бюджета Новосибирской области, выделенных на содержание министерства в пределах утвержденных бюджетных ассигнований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сотрудники имеют высшее образование,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стаж государственной гражданской службы б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олее 3 лет.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Получение дополнительного профессионального образования, профессиональная переподготовка, повышение квалификации, участие в обучающих семинарах, лекциях, практикумах осуществляются для государственных гражданских служащих министерства в соответ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(в том числе образовательных).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2023 году повышение квалификации  сотрудники минист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ерства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осуществляющие деятельность по выполнению контрольно-надзорных функций в сфере контроля не проводилось: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Юридические и физические лица в качестве экспертных организаций и экспертов при проведении проверок в отчетном периоде не привлекались.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Проведение государственного контроля (надзора),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муниципального контроля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поста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новлением № 336 введен мораторий на плановые контрольные (надзорные) мероприятия и проверки в 2023 году, за исключением отдельных объектов контроля чрезвычайно высокого риска, и опасных производственных объектов по некоторым видам контроля (надзора). Кроме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того, введены ограничения на проведение внеплановых контрольных (надзорных) мероприятий и проверок, в том числе постановлением № 336 установлена необходимость их согласования с органами прокуратуры. Все запланированные контрольные (надзорные) мероприятия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отменены, а осуществляемые в настоящее время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подлежали завершению в порядке и в сроки, установленные пунктами 5, 6, 7 постановления № 336.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На основании постановления № 336 региональный контроль (надзор) в 2023 году не проводился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На официал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ьном сайте контрольного органа в разделе «Деятельность/Контрольно-надзорная деятельность/Мораторий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 даны разъяснения для контролируемых лиц по вопросам организации и осуществления контрольной (надзорной) деятельности с учетом положений постановления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№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 336.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2023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году проведены контрольные (надзорные)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мероприятия: консультирование (29 мероприятий), информирование (4  мероприятия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), профилактические визиты (18 мероприятий).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highlight w:val="white"/>
        </w:rPr>
      </w:r>
    </w:p>
    <w:p>
      <w:pPr>
        <w:ind w:right="-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Профилактические визиты (2 мероприятия) переданы через ГИС ТОР КНД и направлены в ФГ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ИС «Единый реестр контрольных (надзорных) мероприятий».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 xml:space="preserve">Внеплановые проверки в 2023</w:t>
      </w: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 xml:space="preserve"> году не проводились.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Губернатора Новосибирской области от 28.07.2022   № 136 «О Порядке установления и оценки применения обязательных требова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области» контрольным органом сформирован и размещен Реестр обязательных требований министер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ства труда и социального развития Новосибирской области, осуществляющего нормативное правовое регулирование в сферах труда, занятости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населения, социальной защиты населения, социального обслуживания граждан в Новосибирской области, опеки и попечительства,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отдыха и оздоровления отдельных категорий граждан, в том числе детей, на территории Новосибирской области.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Действия органов государственного контроля (надзора), по пресечению нарушений обязательных требований и (или) устранению последствий так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их нарушений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целью недопущения,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обязательных требований законодательства в сфере социального обслуживания: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 размещены на официальном сайте контрольного органа нормативных правовых актов, содержащих обязательные требования, оценка соблюдения которых является предметом регионального контроля (надзора), а также актуализированных текстов, соответствующих нормати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вных правовых актов;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 осуществлено информирование контролируемых лиц по вопросам соблюдения обязательных требований законодательства в сфере социального обслуживания путем: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 опубликования на официальном сайте контрольного органа соответствующих нормативных правовых актов по соблюдению обязательных требований;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 проведения публичных мероприятий с контролируемыми лицами, направленных на соблюдение положений перечня актов,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держащих обязательные требования, соблюдение которых оценивается при проведении мероприятий при осуществлении регионального контроля (надзора) за соблюдением законодательства в сфере социального обслуживания, обеспечения доступности для инвалидов объектов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социальной, инженерной и транспортной инфраструктур и предоставляемых услуг (в ходе указанных профилактических мероприятий даны ответы на вопросы слушателей, переданы методические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презентационные материалы,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подготовлены и размещены в общем доступе в инфо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рмационно-телекоммуникационной сети «Интернет» руководства по соблюдению обязательных требований);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 проведения разъяснительной работы в ходе систематического и постоянного взаимодействия с контролируемыми лицами в рамках основной деятельности по вопросам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соблюдения требований законодательства в сфере социального обслуживания;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 осуществления направления официальных писем информационного, рекомендательного и предупредительного характера в адрес контролируемых лиц, а также глав муниципальных районов и горо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дских округов Новосибирской области, департамента по социальной политике мэрии города Новосибирска, в ведении которых находятся муниципальные учреждения социального обслуживания (на основании законов Новосибирской области от 19.10.2016   № 41-ОЗ «О наделен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 органов местного самоуправления городского округа города Новосибирска отдельными государственными полномочиями Новосибирской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 по обеспечению социального обслуживания отдельных категорий граждан», от 13.12.2016 № 65-ОЗ «О наделении органов местног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граждан»), в случае изменения обязательных требова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ний законодательства в сфере социального обслуживания о содержании новых нормативных правовых актов, устанавливающих обязательные требования, а также рекомендации и требования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проведении необходимых организационных мероприятий, направленных на внедрение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обеспечение соблюдения обязательных требований;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 осуществления обобщения правоприменительной практики (не реже одного раза в год) и размещения на официальном сайте контрольного органа доклада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Вместе с тем, в 2023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году проводились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 мероприятия реги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онального контроля (надзора), при проведении которых не требуется взаимодействие контрольного органа с юридическими лицами, индивидуальными предпринимателями: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 мониторинг содержания в информационно-телекоммуникационной сети «Интернет» информации, содержа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щейся на официальных сайтах контролируемых лиц (комплексных центров социального обслуживания населения, муниципальных учреждений для детей-сирот и детей, оставшихся без попечения родителей, муниципальных социально-реабилитационных центров для несовершеннол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етних);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 мониторинг содержания информации, содержащейся в реестре контролируемых лиц, размещенном на официальном сайте контрольного органа;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 анализ информации, содержащейся в обращениях граждан, организаций, органов государственной власти Новосибирской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области о деятельности либо действиях (бездействии) контролируемых лиц, осуществляющих социальное обслуживание, на предмет наличия правовых оснований для проведения внеплановых проверок контролируемых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обнаружения нарушений требований законод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ательства в сфере социального обслуживания в ходе указанных мероприятий контрольным органом осуществляется подготовка и направление официальных писем предупредительного характера в адрес контролируемых лиц, а также глав муниципальных районов и городских 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ругов Новосибирской области, департамента по социальной политике мэрии города Новосибирска, в ведении которых находятся муниципальные учреждения социального обслуживания, о необходимости соблюдения обязательных требований законодательства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сфере социально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обслуживания с требованиями о проведении необходимых организационных мероприятий, направленных на обеспечение соблюдения обязательных требований.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Обращений, заявлений контролируемых лиц, информации от органов государственной власти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органов местного самоуправления, средств массовой информации о фактах нарушений в сфере социального обслуживания в контрольный орган не поступало.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6.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Анализ и оценка эффективности государственного контроля (надзора)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лючевые показатели и их целевые значения, индикативные показатели для осуществления государственного контроля (надзора) от 20.09.2021 № 363-п"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Ключевыми показателями государственного контроля (надзора) являются: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) доля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по результатам проверки деятельности которых отсу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имуществу физических и юридических лиц;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) доля по устранению нарушений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осуществляющими социальное обслуживание, обязательных требований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В течение 2023 года в рамках регионального государственного контроля 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надзора) в сфере социального обслуживания министерством труда и социального развития Новосибирской области проверки не проводились. Проводились профилактические мероприятия (профилактические визиты, консультации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yellow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Провести корректный анализ не представляется возможным, так как плановые и внеплановые проверки не проводились.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Проблем при осуществлении регионального государственного контроля (надзора) в 2023  году не возникало.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Раздел 7.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Выводы и предложения по результатам государственного контроля (надзора)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ценностям и (и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ли) анализ и оценка причиненного ущерба при осуществлении регионального контроля (надзора) проводилась в соответствии с постановлением Правительства Новосибирской области от 28.09.2017 № 370-п «Об утверждении методики оценки результативности и эффективност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(надзора)», а также на основании приказа министерства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 29.11.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2017 № 1021 «О контрольно-надзорной деятельности», которым утверждена методика оценки результативности и эффективности деятельности контрольного органа по осуществлению регионального контроля в сфере социального обслуживания. Методика направлена на снижени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уровня причиняемого вреда (ущерба) охраняемым законом ценностям в сфере социального обслуживания, а также на достижение оптимального распределения трудовых, материальных и финансовых ресурсов государства и минимизацию неоправданного вмешательства в деяте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льность контролируемых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основании утвержденных методик контрольный орган ежегодно проводит оценку (расчет) фактических значений показателей групп «А», «Б» и «В», а также оценку достижений фактических значений ключевых показателей в разрезе видов кон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трольно-надзорной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(расчет) показателей результативности и эффективности при осуществлении контрольным органом контрольной (надзорной) деятельности осуществляется по формулам, приведенным в указанных методиках.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фактических значен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 ключевых показателей результативности контрольной (надзорной) деятельности осуществляется путем сравнения с целевыми значениями по трехбалльной шкале. Критерием присвоения балльных оценок показателям является степень отклонения фактического значения пок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азателя от целевого значения. Если фактическое значение показателя выше или равно целевому значению показателя, присваивается три балла. Если степень отклонения фактического значения показателя от целевого значения не более чем 20%, присваивается два балла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Если степень отклонения фактического значения показателя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целевого значения не более чем 50%, присваивается один балл. Если степень отклонения фактического значения показателя от целевого значения более чем 50%, присваивается ноль баллов.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будет продолжена методическая, разъяснительная и профилактическая работа, направленная на предотвращение, пресечение и недопущение нарушений в сфере законодательства о социальном обслуживании граждан в отношении контролируемых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показатели, характеризующие осуществление регионального государственного контроля (надзора) в сфере социального обслуживания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23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134"/>
        <w:gridCol w:w="1134"/>
      </w:tblGrid>
      <w:tr>
        <w:tblPrEx/>
        <w:trPr>
          <w:trHeight w:val="238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r>
          </w:p>
        </w:tc>
        <w:tc>
          <w:tcPr>
            <w:tcW w:w="7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Значение показателя,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(%)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5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заявлений органов государ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проверок, результаты которых признаны недействительными (в процентах от общего числа проведенных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16" w:tooltip="consultantplus://offline/ref=376023B1F5AEEBB01BB65057C71CC9E54FE53995B430DDA493E4D65329h3S6K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законодательства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Российской Федерации о порядке 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проведения,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результатам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оведенных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 предпринимателей, осу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 муниципальному контролю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13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количество проверок, проведенных в отношении одного юридического лица, индивидуального предпринимателя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проведенных внеплановых проверок (в процентах от общего количества проведенных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окружающей среде, объектам культурного наследия (памятникам истории и культуры) народ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веденных внеплановых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вреда и ликвидации последствий таких 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(в процентах от общего количества проведенных внеплановых проверок)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3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firstLine="1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Доля проверок, по итогам которых выявлены правонарушения (в процентах от общего числа проведенных плановых и внеплановых проверок)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проверенных лиц)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1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94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Отношение суммы взысканных административных штрафов к общей сумме наложенных административных штрафов (в процентах)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размер наложенного административного штрафа, в том числе на должностных лиц и юридических лиц (в тыс. рублей)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проверок, по результатам которых материалы о выявленных нарушениях переданы в суд для возбуждения дела об административном правонарушении (в процентах от общего количества проверок, в результате которых выявлены нарушения обязательных требований)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558097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t xml:space="preserve">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20"/>
    <w:uiPriority w:val="10"/>
    <w:rPr>
      <w:sz w:val="48"/>
      <w:szCs w:val="48"/>
    </w:rPr>
  </w:style>
  <w:style w:type="character" w:styleId="690">
    <w:name w:val="Subtitle Char"/>
    <w:basedOn w:val="706"/>
    <w:link w:val="722"/>
    <w:uiPriority w:val="11"/>
    <w:rPr>
      <w:sz w:val="24"/>
      <w:szCs w:val="24"/>
    </w:rPr>
  </w:style>
  <w:style w:type="character" w:styleId="691">
    <w:name w:val="Quote Char"/>
    <w:link w:val="724"/>
    <w:uiPriority w:val="29"/>
    <w:rPr>
      <w:i/>
    </w:rPr>
  </w:style>
  <w:style w:type="character" w:styleId="692">
    <w:name w:val="Intense Quote Char"/>
    <w:link w:val="726"/>
    <w:uiPriority w:val="30"/>
    <w:rPr>
      <w:i/>
    </w:rPr>
  </w:style>
  <w:style w:type="character" w:styleId="693">
    <w:name w:val="Caption Char"/>
    <w:basedOn w:val="731"/>
    <w:link w:val="729"/>
    <w:uiPriority w:val="99"/>
  </w:style>
  <w:style w:type="character" w:styleId="694">
    <w:name w:val="Footnote Text Char"/>
    <w:link w:val="859"/>
    <w:uiPriority w:val="99"/>
    <w:rPr>
      <w:sz w:val="18"/>
    </w:rPr>
  </w:style>
  <w:style w:type="character" w:styleId="695">
    <w:name w:val="Endnote Text Char"/>
    <w:link w:val="862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after="0" w:line="240" w:lineRule="auto"/>
    </w:pPr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706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706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6"/>
    <w:uiPriority w:val="99"/>
  </w:style>
  <w:style w:type="paragraph" w:styleId="729">
    <w:name w:val="Footer"/>
    <w:basedOn w:val="696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basedOn w:val="706"/>
    <w:uiPriority w:val="99"/>
  </w:style>
  <w:style w:type="paragraph" w:styleId="731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 w:customStyle="1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 w:customStyle="1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 w:customStyle="1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 w:themeColor="hyperlink"/>
      <w:u w:val="single"/>
    </w:rPr>
  </w:style>
  <w:style w:type="paragraph" w:styleId="859">
    <w:name w:val="footnote text"/>
    <w:basedOn w:val="69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6"/>
    <w:uiPriority w:val="99"/>
    <w:unhideWhenUsed/>
    <w:rPr>
      <w:vertAlign w:val="superscript"/>
    </w:rPr>
  </w:style>
  <w:style w:type="paragraph" w:styleId="862">
    <w:name w:val="endnote text"/>
    <w:basedOn w:val="69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6"/>
    <w:uiPriority w:val="99"/>
    <w:semiHidden/>
    <w:unhideWhenUsed/>
    <w:rPr>
      <w:vertAlign w:val="superscript"/>
    </w:rPr>
  </w:style>
  <w:style w:type="paragraph" w:styleId="865">
    <w:name w:val="toc 1"/>
    <w:basedOn w:val="696"/>
    <w:next w:val="696"/>
    <w:uiPriority w:val="39"/>
    <w:unhideWhenUsed/>
    <w:pPr>
      <w:spacing w:after="57"/>
    </w:pPr>
  </w:style>
  <w:style w:type="paragraph" w:styleId="866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7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8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9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0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1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2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3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6"/>
    <w:next w:val="696"/>
    <w:uiPriority w:val="99"/>
    <w:unhideWhenUsed/>
    <w:pPr>
      <w:spacing w:after="0"/>
    </w:pPr>
  </w:style>
  <w:style w:type="table" w:styleId="876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>
    <w:name w:val="Header"/>
    <w:basedOn w:val="696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6"/>
    <w:link w:val="877"/>
    <w:uiPriority w:val="99"/>
  </w:style>
  <w:style w:type="paragraph" w:styleId="879">
    <w:name w:val="Balloon Text"/>
    <w:basedOn w:val="696"/>
    <w:link w:val="8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basedOn w:val="706"/>
    <w:link w:val="8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E0C1A6EF60EBA1D6D363CDA0A89FB7B123F3077E015DDA521465D20813A05BE8B853A49227B2823BD919929748F2755362D59762237AB15BcBLCG" TargetMode="External"/><Relationship Id="rId12" Type="http://schemas.openxmlformats.org/officeDocument/2006/relationships/hyperlink" Target="consultantplus://offline/ref=E0C1A6EF60EBA1D6D363D3ADBEF3E9B829F050760058D2054D31D45F4CF05DBDF813A2C764F68A39D112C7C70AAC2C032F9E9A623466B158A0D9C552c1L6G" TargetMode="External"/><Relationship Id="rId13" Type="http://schemas.openxmlformats.org/officeDocument/2006/relationships/hyperlink" Target="http://www.nsopravo.ru" TargetMode="External"/><Relationship Id="rId14" Type="http://schemas.openxmlformats.org/officeDocument/2006/relationships/hyperlink" Target="http://mtsr.nso.ru/sites/mtsr.nso.ru/wodby_files/files/page_8239/reestr_obyazat_trebovaniy.xlsx" TargetMode="External"/><Relationship Id="rId15" Type="http://schemas.openxmlformats.org/officeDocument/2006/relationships/hyperlink" Target="http://mtsr.nso.ru/sites/mtsr.nso.ru/wodby_files/files/page_8306/postanovlenie.pdf" TargetMode="External"/><Relationship Id="rId16" Type="http://schemas.openxmlformats.org/officeDocument/2006/relationships/hyperlink" Target="consultantplus://offline/ref=376023B1F5AEEBB01BB65057C71CC9E54FE53995B430DDA493E4D65329h3S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E244-70BF-475D-A515-0E4B8531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revision>15</cp:revision>
  <dcterms:created xsi:type="dcterms:W3CDTF">2023-01-26T10:47:00Z</dcterms:created>
  <dcterms:modified xsi:type="dcterms:W3CDTF">2024-03-12T10:23:21Z</dcterms:modified>
</cp:coreProperties>
</file>