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9"/>
        <w:jc w:val="center"/>
        <w:rPr>
          <w:b/>
        </w:rPr>
      </w:pPr>
      <w:r>
        <w:rPr>
          <w:b/>
        </w:rPr>
        <w:t xml:space="preserve">План-график проведен</w:t>
      </w:r>
      <w:r>
        <w:rPr>
          <w:b/>
        </w:rPr>
        <w:t xml:space="preserve">ия публ</w:t>
      </w:r>
      <w:r>
        <w:rPr>
          <w:b/>
        </w:rPr>
        <w:t xml:space="preserve">ичных мероп</w:t>
      </w:r>
      <w:r>
        <w:rPr>
          <w:b/>
        </w:rPr>
        <w:t xml:space="preserve">риятий на 2024</w:t>
      </w:r>
      <w:r>
        <w:rPr>
          <w:b/>
        </w:rPr>
        <w:t xml:space="preserve"> год</w:t>
      </w:r>
      <w:r>
        <w:rPr>
          <w:b/>
        </w:rPr>
      </w:r>
      <w:r>
        <w:rPr>
          <w:b/>
        </w:rPr>
      </w:r>
    </w:p>
    <w:p>
      <w:pPr>
        <w:pStyle w:val="759"/>
        <w:jc w:val="center"/>
        <w:rPr>
          <w:u w:val="single"/>
        </w:rPr>
      </w:pPr>
      <w:r>
        <w:rPr>
          <w:u w:val="single"/>
        </w:rPr>
        <w:t xml:space="preserve">министерство труда и социального развития Новосибирской области (управление занятости населения</w:t>
      </w:r>
      <w:r>
        <w:rPr>
          <w:u w:val="single"/>
        </w:rPr>
      </w:r>
    </w:p>
    <w:p>
      <w:pPr>
        <w:pStyle w:val="759"/>
        <w:jc w:val="center"/>
        <w:rPr>
          <w:i/>
          <w:sz w:val="20"/>
        </w:rPr>
      </w:pPr>
      <w:r>
        <w:rPr>
          <w:i/>
          <w:sz w:val="20"/>
        </w:rPr>
        <w:t xml:space="preserve">(наименование </w:t>
      </w:r>
      <w:r>
        <w:rPr>
          <w:i/>
          <w:sz w:val="20"/>
        </w:rPr>
        <w:t xml:space="preserve">областного </w:t>
      </w:r>
      <w:r>
        <w:rPr>
          <w:i/>
          <w:sz w:val="20"/>
        </w:rPr>
        <w:t xml:space="preserve">исполнительного органа Новосибирской области, осуществляющего</w:t>
      </w:r>
      <w:r>
        <w:rPr>
          <w:i/>
          <w:sz w:val="20"/>
        </w:rPr>
        <w:t xml:space="preserve"> вид</w:t>
      </w:r>
      <w:r>
        <w:rPr>
          <w:i/>
          <w:sz w:val="20"/>
        </w:rPr>
        <w:t xml:space="preserve"> государственного контроля (надзора)</w:t>
      </w:r>
      <w:r>
        <w:rPr>
          <w:i/>
          <w:sz w:val="20"/>
        </w:rPr>
        <w:t xml:space="preserve">)</w:t>
      </w:r>
      <w:r>
        <w:rPr>
          <w:i/>
          <w:sz w:val="20"/>
        </w:rPr>
      </w:r>
    </w:p>
    <w:p>
      <w:pPr>
        <w:pStyle w:val="759"/>
        <w:jc w:val="center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16302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1843"/>
        <w:gridCol w:w="2019"/>
        <w:gridCol w:w="1417"/>
        <w:gridCol w:w="1559"/>
        <w:gridCol w:w="1418"/>
        <w:gridCol w:w="1701"/>
        <w:gridCol w:w="2126"/>
        <w:gridCol w:w="2126"/>
        <w:gridCol w:w="1418"/>
      </w:tblGrid>
      <w:tr>
        <w:trPr>
          <w:trHeight w:val="365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п/п</w:t>
            </w:r>
            <w:r>
              <w:rPr>
                <w:sz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Тема </w:t>
            </w:r>
            <w:r>
              <w:rPr>
                <w:sz w:val="22"/>
              </w:rPr>
              <w:t xml:space="preserve">мероприятия</w:t>
            </w:r>
            <w:r>
              <w:rPr>
                <w:sz w:val="22"/>
              </w:rPr>
            </w:r>
          </w:p>
        </w:tc>
        <w:tc>
          <w:tcPr>
            <w:tcW w:w="2019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Формат мероприятия</w:t>
            </w:r>
            <w:r>
              <w:rPr>
                <w:sz w:val="22"/>
              </w:rPr>
            </w:r>
          </w:p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75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(очный формат/дистанционный формат)</w:t>
            </w:r>
            <w:r>
              <w:rPr>
                <w:i/>
                <w:sz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мероприятия</w:t>
            </w:r>
            <w:r>
              <w:rPr>
                <w:rStyle w:val="773"/>
                <w:sz w:val="22"/>
              </w:rPr>
              <w:footnoteReference w:id="2"/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Плановая дата проведения </w:t>
            </w:r>
            <w:r>
              <w:rPr>
                <w:sz w:val="22"/>
              </w:rPr>
              <w:t xml:space="preserve">мероприятия</w:t>
            </w:r>
            <w:r>
              <w:rPr>
                <w:rStyle w:val="773"/>
                <w:sz w:val="22"/>
              </w:rPr>
              <w:footnoteReference w:id="3"/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Место проведения мероприятия</w:t>
            </w:r>
            <w:r>
              <w:rPr>
                <w:rStyle w:val="773"/>
                <w:sz w:val="22"/>
              </w:rPr>
              <w:footnoteReference w:id="4"/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Контакты ответственн</w:t>
            </w:r>
            <w:r>
              <w:rPr>
                <w:sz w:val="22"/>
              </w:rPr>
              <w:t xml:space="preserve">ого за организацию мероприятия </w:t>
            </w:r>
            <w:r>
              <w:rPr>
                <w:sz w:val="22"/>
              </w:rPr>
              <w:t xml:space="preserve">должностного лица</w:t>
            </w:r>
            <w:r>
              <w:rPr>
                <w:rStyle w:val="773"/>
                <w:sz w:val="22"/>
              </w:rPr>
              <w:footnoteReference w:id="5"/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Способ информирования контролируем</w:t>
            </w:r>
            <w:r>
              <w:rPr>
                <w:sz w:val="22"/>
              </w:rPr>
              <w:t xml:space="preserve">ых лиц о предстоящем мероприяти</w:t>
            </w:r>
            <w:r>
              <w:rPr>
                <w:sz w:val="22"/>
              </w:rPr>
              <w:t xml:space="preserve">и</w:t>
            </w:r>
            <w:r>
              <w:rPr>
                <w:rStyle w:val="773"/>
                <w:sz w:val="22"/>
              </w:rPr>
              <w:footnoteReference w:id="6"/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Необходимость предварительной регистрации участников мероприятия</w:t>
            </w:r>
            <w:r>
              <w:rPr>
                <w:sz w:val="22"/>
              </w:rPr>
            </w:r>
          </w:p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75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(требуется / не требуется)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Способ регистрации</w:t>
            </w:r>
            <w:r>
              <w:rPr>
                <w:rStyle w:val="773"/>
                <w:sz w:val="22"/>
              </w:rPr>
              <w:footnoteReference w:id="7"/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365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</w:t>
            </w:r>
            <w:r>
              <w:rPr>
                <w:b/>
                <w:sz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</w:t>
            </w:r>
            <w:r>
              <w:rPr>
                <w:b/>
                <w:sz w:val="22"/>
              </w:rPr>
            </w:r>
          </w:p>
        </w:tc>
        <w:tc>
          <w:tcPr>
            <w:tcW w:w="2019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</w:t>
            </w:r>
            <w:r>
              <w:rPr>
                <w:b/>
                <w:sz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5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6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7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8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9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10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rPr/>
        <w:tc>
          <w:tcPr>
            <w:gridSpan w:val="10"/>
            <w:tcW w:w="1630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государственный контроль</w:t>
            </w:r>
            <w:r>
              <w:rPr>
                <w:sz w:val="28"/>
                <w:szCs w:val="28"/>
              </w:rPr>
              <w:t xml:space="preserve"> (надзор)</w:t>
            </w:r>
            <w:r>
              <w:rPr>
                <w:sz w:val="28"/>
                <w:szCs w:val="28"/>
              </w:rPr>
              <w:t xml:space="preserve"> 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за приемом на работу инвалидов в пределах установленной квоты</w:t>
            </w:r>
            <w:r/>
            <w:r>
              <w:rPr>
                <w:sz w:val="28"/>
                <w:szCs w:val="28"/>
              </w:rPr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highlight w:val="none"/>
              </w:rPr>
              <w:t xml:space="preserve">«</w:t>
            </w:r>
            <w:r>
              <w:rPr>
                <w:rFonts w:eastAsia="Calibri"/>
                <w:bCs/>
                <w:sz w:val="24"/>
                <w:szCs w:val="24"/>
              </w:rPr>
              <w:t xml:space="preserve">Об установленных случаях и порядке выполнения квоты для приема на работу инвалидов при оформлении работодателем в установленном порядке трудовых отношений с инвалидом на любое рабочее место»</w:t>
            </w:r>
            <w:r/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</w:r>
          </w:p>
        </w:tc>
        <w:tc>
          <w:tcPr>
            <w:tcW w:w="2019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 xml:space="preserve">дистанционный формат</w:t>
            </w:r>
            <w:r>
              <w:rPr>
                <w:sz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</w:rPr>
              <w:t xml:space="preserve">Семинар (вебинар)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  <w:lang w:val="ru-RU"/>
              </w:rPr>
              <w:t xml:space="preserve">квартал</w:t>
            </w:r>
            <w:r>
              <w:rPr>
                <w:sz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Кошелева А.А., 238 75 01</w:t>
            </w:r>
            <w:r>
              <w:rPr>
                <w:sz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Размещение информации на официальном сайте </w:t>
            </w:r>
            <w:r>
              <w:rPr>
                <w:sz w:val="22"/>
              </w:rPr>
              <w:t xml:space="preserve">https://mtsr.nso.ru/page/8232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требуется</w:t>
            </w:r>
            <w:r>
              <w:rPr>
                <w:sz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«О соблюдении работодателями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 требований законодательства в области квотирования рабочих мест для трудоустройства инвалидов»</w:t>
            </w:r>
            <w:r/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019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 xml:space="preserve">дистанционный формат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Круглый стол</w:t>
            </w:r>
            <w:r>
              <w:rPr>
                <w:sz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II </w:t>
            </w:r>
            <w:r>
              <w:rPr>
                <w:sz w:val="22"/>
                <w:lang w:val="ru-RU"/>
              </w:rPr>
              <w:t xml:space="preserve">квартал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Кошелева А.А., 238 75 01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Размещение информации на официальном сайте </w:t>
            </w:r>
            <w:r>
              <w:rPr>
                <w:sz w:val="22"/>
              </w:rPr>
              <w:t xml:space="preserve">https://mtsr.nso.ru/page/8232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Требуется</w:t>
            </w:r>
            <w:r>
              <w:rPr>
                <w:sz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 электронной почте </w:t>
            </w:r>
            <w:r>
              <w:rPr>
                <w:sz w:val="22"/>
              </w:rPr>
              <w:t xml:space="preserve">koaal@nso.ru</w:t>
            </w: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/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«О недопустимости нарушения обязательных требований»</w:t>
            </w:r>
            <w:r>
              <w:rPr>
                <w:sz w:val="22"/>
              </w:rPr>
            </w:r>
          </w:p>
        </w:tc>
        <w:tc>
          <w:tcPr>
            <w:tcW w:w="2019" w:type="dxa"/>
            <w:vAlign w:val="top"/>
            <w:vMerge w:val="restart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 xml:space="preserve">дистанционный формат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</w:rPr>
              <w:t xml:space="preserve">Семинар (вебинар)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III </w:t>
            </w:r>
            <w:r>
              <w:rPr>
                <w:sz w:val="22"/>
                <w:lang w:val="ru-RU"/>
              </w:rPr>
              <w:t xml:space="preserve">квартал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Кошелева А.А., 238 75 01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Размещение информации на официальном сайте </w:t>
            </w:r>
            <w:r>
              <w:rPr>
                <w:sz w:val="22"/>
              </w:rPr>
              <w:t xml:space="preserve">https://mtsr.nso.ru/page/8232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требуется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/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759"/>
              <w:jc w:val="center"/>
              <w:rPr>
                <w:sz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«Об итогах контрольно-надзорной деятельности в 202</w:t>
            </w:r>
            <w:r>
              <w:rPr>
                <w:rFonts w:eastAsia="Calibri"/>
                <w:bCs/>
                <w:sz w:val="24"/>
                <w:szCs w:val="24"/>
              </w:rPr>
              <w:t xml:space="preserve">4</w:t>
            </w:r>
            <w:r>
              <w:rPr>
                <w:rFonts w:eastAsia="Calibri"/>
                <w:bCs/>
                <w:sz w:val="24"/>
                <w:szCs w:val="24"/>
              </w:rPr>
              <w:t xml:space="preserve"> году»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4"/>
              </w:rPr>
            </w:r>
          </w:p>
        </w:tc>
        <w:tc>
          <w:tcPr>
            <w:tcW w:w="2019" w:type="dxa"/>
            <w:vAlign w:val="top"/>
            <w:vMerge w:val="restart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 xml:space="preserve">публичное обсуждение</w:t>
            </w:r>
            <w:r>
              <w:rPr>
                <w:sz w:val="22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</w:rPr>
              <w:t xml:space="preserve">Семинар (вебинар)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IV </w:t>
            </w:r>
            <w:r>
              <w:rPr>
                <w:sz w:val="22"/>
                <w:lang w:val="ru-RU"/>
              </w:rPr>
              <w:t xml:space="preserve">квартал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Кошелева А.А., 238 75 01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Размещение информации на официальном сайте </w:t>
            </w:r>
            <w:r>
              <w:rPr>
                <w:sz w:val="22"/>
              </w:rPr>
              <w:t xml:space="preserve">https://mtsr.nso.ru/page/8232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требуется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759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759"/>
        <w:tabs>
          <w:tab w:val="left" w:pos="10890" w:leader="none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6838" w:h="11906" w:orient="landscape"/>
      <w:pgMar w:top="284" w:right="1134" w:bottom="707" w:left="99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pStyle w:val="771"/>
        <w:ind w:left="-709"/>
        <w:jc w:val="both"/>
      </w:pPr>
      <w:r>
        <w:rPr>
          <w:rStyle w:val="773"/>
        </w:rPr>
        <w:footnoteRef/>
      </w:r>
      <w:r>
        <w:t xml:space="preserve"> Указывается один из следующих видов: (1) публичное обсуждение, (2) круглый стол, (3) семинар (вебинар), (4) конференция, (5) форум, (6) брифинг.</w:t>
      </w:r>
      <w:r/>
    </w:p>
  </w:footnote>
  <w:footnote w:id="3">
    <w:p>
      <w:pPr>
        <w:pStyle w:val="771"/>
        <w:ind w:left="-709"/>
        <w:jc w:val="both"/>
      </w:pPr>
      <w:r>
        <w:rPr>
          <w:rStyle w:val="773"/>
        </w:rPr>
        <w:footnoteRef/>
      </w:r>
      <w:r>
        <w:t xml:space="preserve"> Указывается месяц или квартал, в течении которых планируется провести публичное мероприятие.</w:t>
      </w:r>
      <w:r/>
    </w:p>
  </w:footnote>
  <w:footnote w:id="4">
    <w:p>
      <w:pPr>
        <w:pStyle w:val="771"/>
        <w:ind w:left="-709"/>
        <w:jc w:val="both"/>
      </w:pPr>
      <w:r>
        <w:rPr>
          <w:rStyle w:val="773"/>
        </w:rPr>
        <w:footnoteRef/>
      </w:r>
      <w:r>
        <w:t xml:space="preserve"> Столбец № 6</w:t>
      </w:r>
      <w:r>
        <w:t xml:space="preserve"> заполняется в случае, если публичное мероприятие будет проводиться в очном формате.</w:t>
      </w:r>
      <w:r/>
    </w:p>
  </w:footnote>
  <w:footnote w:id="5">
    <w:p>
      <w:pPr>
        <w:pStyle w:val="771"/>
        <w:ind w:left="-709"/>
        <w:jc w:val="both"/>
      </w:pPr>
      <w:r>
        <w:rPr>
          <w:rStyle w:val="773"/>
        </w:rPr>
        <w:footnoteRef/>
      </w:r>
      <w:r>
        <w:t xml:space="preserve"> Указывается фамилия, имя, отчество (при наличии), номер рабочего телефона (с добавочным номером) и (или) адрес рабочей электронной почты.</w:t>
      </w:r>
      <w:r/>
    </w:p>
  </w:footnote>
  <w:footnote w:id="6">
    <w:p>
      <w:pPr>
        <w:pStyle w:val="771"/>
        <w:ind w:left="-709"/>
        <w:jc w:val="both"/>
      </w:pPr>
      <w:r>
        <w:rPr>
          <w:rStyle w:val="773"/>
        </w:rPr>
        <w:footnoteRef/>
      </w:r>
      <w:r>
        <w:t xml:space="preserve"> Размещение</w:t>
      </w:r>
      <w:r>
        <w:t xml:space="preserve"> информации на официальном сайте (</w:t>
      </w:r>
      <w:r>
        <w:rPr>
          <w:i/>
        </w:rPr>
        <w:t xml:space="preserve">указывается ссылка</w:t>
      </w:r>
      <w:r>
        <w:rPr>
          <w:i/>
        </w:rPr>
        <w:t xml:space="preserve"> на страницу, на которой будет размещена информация о мероприятии</w:t>
      </w:r>
      <w:r>
        <w:t xml:space="preserve">), ином информационном ресурсе (</w:t>
      </w:r>
      <w:r>
        <w:rPr>
          <w:i/>
        </w:rPr>
        <w:t xml:space="preserve">указывается наименование ресурса и, по возможности, ссылка на страницу, на которой будет размещена информация о мероприятии</w:t>
      </w:r>
      <w:r>
        <w:t xml:space="preserve">), рассылка уведомлений контролируемым лицам</w:t>
      </w:r>
      <w:r>
        <w:t xml:space="preserve">, иной способ (</w:t>
      </w:r>
      <w:r>
        <w:rPr>
          <w:i/>
        </w:rPr>
        <w:t xml:space="preserve">указывается КНО</w:t>
      </w:r>
      <w:r>
        <w:t xml:space="preserve">). </w:t>
      </w:r>
      <w:r/>
    </w:p>
  </w:footnote>
  <w:footnote w:id="7">
    <w:p>
      <w:pPr>
        <w:pStyle w:val="771"/>
        <w:ind w:left="-709"/>
        <w:jc w:val="both"/>
      </w:pPr>
      <w:r>
        <w:rPr>
          <w:rStyle w:val="773"/>
        </w:rPr>
        <w:footnoteRef/>
      </w:r>
      <w:r>
        <w:t xml:space="preserve"> Столбец № 10 заполняется в случае, если для участия в мероприятии требуется</w:t>
      </w:r>
      <w:r>
        <w:t xml:space="preserve"> предварительная регистрация. </w:t>
      </w:r>
      <w:r>
        <w:t xml:space="preserve">Возможные </w:t>
      </w:r>
      <w:r>
        <w:t xml:space="preserve">способы</w:t>
      </w:r>
      <w:r>
        <w:t xml:space="preserve"> регистрации</w:t>
      </w:r>
      <w:r>
        <w:t xml:space="preserve">: по телефону и (или) эле</w:t>
      </w:r>
      <w:r>
        <w:t xml:space="preserve">к</w:t>
      </w:r>
      <w:r>
        <w:t xml:space="preserve">тронной почте (</w:t>
      </w:r>
      <w:r>
        <w:rPr>
          <w:i/>
        </w:rPr>
        <w:t xml:space="preserve">указываются номер телефона (с добавочным номером), адрес элетронной почты, с помощью которых производится регистрация</w:t>
      </w:r>
      <w:r>
        <w:t xml:space="preserve">), посредством заполнения онлайн – формы (</w:t>
      </w:r>
      <w:r>
        <w:rPr>
          <w:i/>
        </w:rPr>
        <w:t xml:space="preserve">указывается ссылка на страницу, на которой будет размещена форма или ссылка на форму</w:t>
      </w:r>
      <w:r>
        <w:t xml:space="preserve">), посредством направления контролируемым лицом ответного письма в КНО, иные способы (</w:t>
      </w:r>
      <w:r>
        <w:rPr>
          <w:i/>
        </w:rPr>
        <w:t xml:space="preserve">указываются КНО</w:t>
      </w:r>
      <w:r>
        <w:t xml:space="preserve">).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59"/>
    <w:next w:val="7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59"/>
    <w:next w:val="7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59"/>
    <w:next w:val="7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9"/>
    <w:next w:val="7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59"/>
    <w:next w:val="7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9"/>
    <w:next w:val="7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9"/>
    <w:next w:val="7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9"/>
    <w:next w:val="7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9"/>
    <w:next w:val="7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59"/>
    <w:next w:val="7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59"/>
    <w:next w:val="7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59"/>
    <w:next w:val="7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9"/>
    <w:next w:val="7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59"/>
    <w:next w:val="7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59"/>
    <w:next w:val="7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9"/>
    <w:next w:val="7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9"/>
    <w:next w:val="7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9"/>
    <w:next w:val="7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9"/>
    <w:next w:val="7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9"/>
    <w:next w:val="7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9"/>
    <w:next w:val="7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9"/>
    <w:next w:val="7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9"/>
    <w:next w:val="7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9"/>
    <w:next w:val="759"/>
    <w:uiPriority w:val="99"/>
    <w:unhideWhenUsed/>
    <w:pPr>
      <w:spacing w:after="0" w:afterAutospacing="0"/>
    </w:pPr>
  </w:style>
  <w:style w:type="paragraph" w:styleId="759" w:default="1">
    <w:name w:val="Normal"/>
    <w:next w:val="759"/>
    <w:link w:val="759"/>
    <w:qFormat/>
    <w:rPr>
      <w:sz w:val="28"/>
      <w:szCs w:val="28"/>
      <w:lang w:val="ru-RU" w:eastAsia="ru-RU" w:bidi="ar-SA"/>
    </w:rPr>
  </w:style>
  <w:style w:type="character" w:styleId="760">
    <w:name w:val="Основной шрифт абзаца"/>
    <w:next w:val="760"/>
    <w:link w:val="759"/>
    <w:uiPriority w:val="1"/>
    <w:unhideWhenUsed/>
  </w:style>
  <w:style w:type="table" w:styleId="761">
    <w:name w:val="Обычная таблица"/>
    <w:next w:val="761"/>
    <w:link w:val="759"/>
    <w:uiPriority w:val="99"/>
    <w:semiHidden/>
    <w:unhideWhenUsed/>
    <w:tblPr/>
  </w:style>
  <w:style w:type="numbering" w:styleId="762">
    <w:name w:val="Нет списка"/>
    <w:next w:val="762"/>
    <w:link w:val="759"/>
    <w:uiPriority w:val="99"/>
    <w:semiHidden/>
    <w:unhideWhenUsed/>
  </w:style>
  <w:style w:type="character" w:styleId="763">
    <w:name w:val="Гиперссылка"/>
    <w:next w:val="763"/>
    <w:link w:val="759"/>
    <w:rPr>
      <w:rFonts w:ascii="Times New Roman" w:hAnsi="Times New Roman" w:cs="Times New Roman"/>
      <w:color w:val="0000ff"/>
      <w:u w:val="single"/>
    </w:rPr>
  </w:style>
  <w:style w:type="character" w:styleId="764">
    <w:name w:val="Верхний колонтитул Знак, Знак Знак"/>
    <w:next w:val="764"/>
    <w:link w:val="765"/>
    <w:rPr>
      <w:sz w:val="28"/>
      <w:szCs w:val="28"/>
      <w:lang w:val="ru-RU" w:eastAsia="ru-RU" w:bidi="ar-SA"/>
    </w:rPr>
  </w:style>
  <w:style w:type="paragraph" w:styleId="765">
    <w:name w:val="Верхний колонтитул, Знак"/>
    <w:basedOn w:val="759"/>
    <w:next w:val="765"/>
    <w:link w:val="764"/>
    <w:pPr>
      <w:tabs>
        <w:tab w:val="center" w:pos="4153" w:leader="none"/>
        <w:tab w:val="right" w:pos="8306" w:leader="none"/>
      </w:tabs>
    </w:pPr>
  </w:style>
  <w:style w:type="character" w:styleId="766">
    <w:name w:val="Основной текст 2 Знак"/>
    <w:next w:val="766"/>
    <w:link w:val="767"/>
    <w:rPr>
      <w:sz w:val="28"/>
      <w:szCs w:val="28"/>
      <w:lang w:val="ru-RU" w:eastAsia="ru-RU" w:bidi="ar-SA"/>
    </w:rPr>
  </w:style>
  <w:style w:type="paragraph" w:styleId="767">
    <w:name w:val="Основной текст 2"/>
    <w:basedOn w:val="759"/>
    <w:next w:val="767"/>
    <w:link w:val="766"/>
    <w:pPr>
      <w:jc w:val="both"/>
    </w:pPr>
  </w:style>
  <w:style w:type="character" w:styleId="768">
    <w:name w:val="iceouttxt1"/>
    <w:next w:val="768"/>
    <w:link w:val="759"/>
    <w:rPr>
      <w:rFonts w:ascii="Arial" w:hAnsi="Arial" w:cs="Arial"/>
      <w:color w:val="666666"/>
      <w:sz w:val="14"/>
      <w:szCs w:val="14"/>
    </w:rPr>
  </w:style>
  <w:style w:type="paragraph" w:styleId="769">
    <w:name w:val="Текст выноски"/>
    <w:basedOn w:val="759"/>
    <w:next w:val="769"/>
    <w:link w:val="770"/>
    <w:rPr>
      <w:rFonts w:ascii="Tahoma" w:hAnsi="Tahoma" w:cs="Tahoma"/>
      <w:sz w:val="16"/>
      <w:szCs w:val="16"/>
    </w:rPr>
  </w:style>
  <w:style w:type="character" w:styleId="770">
    <w:name w:val="Текст выноски Знак"/>
    <w:next w:val="770"/>
    <w:link w:val="769"/>
    <w:rPr>
      <w:rFonts w:ascii="Tahoma" w:hAnsi="Tahoma" w:cs="Tahoma"/>
      <w:sz w:val="16"/>
      <w:szCs w:val="16"/>
    </w:rPr>
  </w:style>
  <w:style w:type="paragraph" w:styleId="771">
    <w:name w:val="Текст сноски"/>
    <w:basedOn w:val="759"/>
    <w:next w:val="771"/>
    <w:link w:val="772"/>
    <w:rPr>
      <w:sz w:val="20"/>
      <w:szCs w:val="20"/>
    </w:rPr>
  </w:style>
  <w:style w:type="character" w:styleId="772">
    <w:name w:val="Текст сноски Знак"/>
    <w:basedOn w:val="760"/>
    <w:next w:val="772"/>
    <w:link w:val="771"/>
  </w:style>
  <w:style w:type="character" w:styleId="773">
    <w:name w:val="Знак сноски"/>
    <w:next w:val="773"/>
    <w:link w:val="759"/>
    <w:rPr>
      <w:vertAlign w:val="superscript"/>
    </w:rPr>
  </w:style>
  <w:style w:type="paragraph" w:styleId="774">
    <w:name w:val="Нижний колонтитул"/>
    <w:basedOn w:val="759"/>
    <w:next w:val="774"/>
    <w:link w:val="775"/>
    <w:unhideWhenUsed/>
    <w:pPr>
      <w:tabs>
        <w:tab w:val="center" w:pos="4677" w:leader="none"/>
        <w:tab w:val="right" w:pos="9355" w:leader="none"/>
      </w:tabs>
    </w:pPr>
  </w:style>
  <w:style w:type="character" w:styleId="775">
    <w:name w:val="Нижний колонтитул Знак"/>
    <w:next w:val="775"/>
    <w:link w:val="774"/>
    <w:rPr>
      <w:sz w:val="28"/>
      <w:szCs w:val="28"/>
    </w:rPr>
  </w:style>
  <w:style w:type="table" w:styleId="776">
    <w:name w:val="Сетка таблицы"/>
    <w:basedOn w:val="761"/>
    <w:next w:val="776"/>
    <w:link w:val="759"/>
    <w:tblPr/>
  </w:style>
  <w:style w:type="character" w:styleId="1505" w:default="1">
    <w:name w:val="Default Paragraph Font"/>
    <w:uiPriority w:val="1"/>
    <w:semiHidden/>
    <w:unhideWhenUsed/>
  </w:style>
  <w:style w:type="numbering" w:styleId="1506" w:default="1">
    <w:name w:val="No List"/>
    <w:uiPriority w:val="99"/>
    <w:semiHidden/>
    <w:unhideWhenUsed/>
  </w:style>
  <w:style w:type="table" w:styleId="1507" w:default="1">
    <w:name w:val="Normal Table"/>
    <w:uiPriority w:val="99"/>
    <w:semiHidden/>
    <w:unhideWhenUsed/>
    <w:tblPr/>
  </w:style>
  <w:style w:type="paragraph" w:styleId="1_2780" w:customStyle="1">
    <w:name w:val="Заголовок 1"/>
    <w:basedOn w:val="626"/>
    <w:next w:val="627"/>
    <w:link w:val="662"/>
    <w:uiPriority w:val="9"/>
    <w:qFormat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48"/>
      <w:szCs w:val="4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ANO</Company>
  <DocSecurity>0</DocSecurity>
  <HyperlinksChanged>false</HyperlinksChanged>
  <ScaleCrop>false</ScaleCrop>
  <SharedDoc>false</SharedDoc>
  <Template>Бланк МЭР-2012-2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chln</dc:creator>
  <cp:revision>20</cp:revision>
  <dcterms:created xsi:type="dcterms:W3CDTF">2020-11-30T04:02:00Z</dcterms:created>
  <dcterms:modified xsi:type="dcterms:W3CDTF">2023-12-18T05:51:46Z</dcterms:modified>
  <cp:version>1048576</cp:version>
</cp:coreProperties>
</file>