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BA" w:rsidRDefault="004D69BA">
      <w:pPr>
        <w:jc w:val="right"/>
        <w:rPr>
          <w:sz w:val="28"/>
          <w:szCs w:val="28"/>
        </w:rPr>
      </w:pPr>
      <w:bookmarkStart w:id="0" w:name="_GoBack"/>
      <w:bookmarkEnd w:id="0"/>
    </w:p>
    <w:p w:rsidR="004D69BA" w:rsidRDefault="00016EA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НОВОСИБИРСКАЯ ОБЛАСТНАЯ</w:t>
      </w:r>
    </w:p>
    <w:p w:rsidR="004D69BA" w:rsidRDefault="00016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ТРЕХСТОРОННЯЯ КОМИССИЯ ПО РЕГУЛИРОВАНИЮ</w:t>
      </w:r>
    </w:p>
    <w:p w:rsidR="004D69BA" w:rsidRDefault="00016E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</w:t>
      </w:r>
    </w:p>
    <w:p w:rsidR="004D69BA" w:rsidRDefault="004D69BA">
      <w:pPr>
        <w:jc w:val="center"/>
        <w:rPr>
          <w:b/>
          <w:sz w:val="28"/>
          <w:szCs w:val="28"/>
        </w:rPr>
      </w:pPr>
    </w:p>
    <w:p w:rsidR="004D69BA" w:rsidRDefault="00016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69BA" w:rsidRDefault="004D69B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131"/>
      </w:tblGrid>
      <w:tr w:rsidR="004D69BA"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69BA" w:rsidRDefault="00016EA1">
            <w:pPr>
              <w:keepNext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28.11.202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69BA" w:rsidRDefault="00016EA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1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69BA" w:rsidRDefault="00016EA1">
            <w:pPr>
              <w:keepNext/>
              <w:widowControl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5/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4D69BA" w:rsidRDefault="004D69BA">
      <w:pPr>
        <w:keepNext/>
        <w:widowControl w:val="0"/>
        <w:rPr>
          <w:sz w:val="28"/>
          <w:szCs w:val="28"/>
        </w:rPr>
      </w:pPr>
    </w:p>
    <w:p w:rsidR="004D69BA" w:rsidRDefault="004D69BA">
      <w:pPr>
        <w:keepNext/>
        <w:widowControl w:val="0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204"/>
        <w:gridCol w:w="3719"/>
      </w:tblGrid>
      <w:tr w:rsidR="004D69BA"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69BA" w:rsidRDefault="00016EA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ситуации с задолженностью по заработной плате в организациях Новосибирской области и мерах реагирования по ее ликвидации</w:t>
            </w:r>
          </w:p>
        </w:tc>
        <w:tc>
          <w:tcPr>
            <w:tcW w:w="3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69BA" w:rsidRDefault="004D69BA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D69BA" w:rsidRDefault="004D69BA">
      <w:pPr>
        <w:jc w:val="both"/>
        <w:rPr>
          <w:sz w:val="28"/>
          <w:szCs w:val="28"/>
        </w:rPr>
      </w:pPr>
    </w:p>
    <w:p w:rsidR="004D69BA" w:rsidRDefault="00016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информацию Государственной инспекции труда в Новосибирской области (далее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Гострудинспекция), </w:t>
      </w:r>
      <w:r>
        <w:rPr>
          <w:color w:val="000000" w:themeColor="text1"/>
          <w:sz w:val="28"/>
          <w:szCs w:val="28"/>
        </w:rPr>
        <w:t>Новосибирская областная трехсторонняя комиссия по регулированию социально-трудовых отношений (далее – Комиссия) отмечает, что в 2024 году осуществлялась работа, направленная на побуждение работодателей к своевременной и полной выплате заработной платы рабо</w:t>
      </w:r>
      <w:r>
        <w:rPr>
          <w:color w:val="000000" w:themeColor="text1"/>
          <w:sz w:val="28"/>
          <w:szCs w:val="28"/>
        </w:rPr>
        <w:t xml:space="preserve">тникам. </w:t>
      </w:r>
    </w:p>
    <w:p w:rsidR="004D69BA" w:rsidRDefault="00016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Гострудинспекцией принимались меры, направленные на защиту и восстановление нарушенных трудовых прав работников путем проведения контрольных (надзорных) и профилактических мероприятий. </w:t>
      </w:r>
    </w:p>
    <w:p w:rsidR="004D69BA" w:rsidRDefault="00016EA1">
      <w:pPr>
        <w:ind w:firstLine="709"/>
        <w:jc w:val="both"/>
      </w:pPr>
      <w:r>
        <w:rPr>
          <w:color w:val="000000" w:themeColor="text1"/>
          <w:sz w:val="28"/>
          <w:szCs w:val="28"/>
        </w:rPr>
        <w:t>В ходе проведения контрольных (надзорных) мероприятий, профил</w:t>
      </w:r>
      <w:r>
        <w:rPr>
          <w:color w:val="000000" w:themeColor="text1"/>
          <w:sz w:val="28"/>
          <w:szCs w:val="28"/>
        </w:rPr>
        <w:t>актических мероприятий, а также по результатам рассмотрения обращений граждан, информации органов государственной власти и средств массовой информации на 01.11.2024 в Гострудинспекции имеются сведения о задолженности по заработной плате в размере 147,4 млн</w:t>
      </w:r>
      <w:r>
        <w:rPr>
          <w:color w:val="000000" w:themeColor="text1"/>
          <w:sz w:val="28"/>
          <w:szCs w:val="28"/>
        </w:rPr>
        <w:t xml:space="preserve"> рублей перед 6448 работниками. </w:t>
      </w:r>
    </w:p>
    <w:p w:rsidR="004D69BA" w:rsidRDefault="00016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этом на долю организаций, в отношении которых проводится процедура банкротства, приходится задолженность в размере 123,9 млн рублей. О</w:t>
      </w:r>
      <w:r>
        <w:rPr>
          <w:color w:val="000000"/>
          <w:sz w:val="28"/>
          <w:szCs w:val="28"/>
        </w:rPr>
        <w:t>рганизациями, имеющими значительную задолженность по выплате заработной платы перед р</w:t>
      </w:r>
      <w:r>
        <w:rPr>
          <w:color w:val="000000"/>
          <w:sz w:val="28"/>
          <w:szCs w:val="28"/>
        </w:rPr>
        <w:t>аботниками, являются: ООО</w:t>
      </w:r>
      <w:r>
        <w:rPr>
          <w:color w:val="000000"/>
          <w:sz w:val="28"/>
          <w:szCs w:val="28"/>
          <w:highlight w:val="white"/>
        </w:rPr>
        <w:t xml:space="preserve"> «РАТЭК» –</w:t>
      </w:r>
      <w:r>
        <w:rPr>
          <w:color w:val="000000"/>
          <w:sz w:val="28"/>
          <w:szCs w:val="28"/>
        </w:rPr>
        <w:t xml:space="preserve"> более 78 млн рублей, ООО «ТЕХВЭБ» – 28,9 млн рублей, ООО «Байкальская строительная компания» – 5,2 млн рублей.</w:t>
      </w:r>
    </w:p>
    <w:p w:rsidR="004D69BA" w:rsidRDefault="00016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текущем году по вопросам оплаты труда было проведено 524 профилактических визита, в ходе которых работодате</w:t>
      </w:r>
      <w:r>
        <w:rPr>
          <w:color w:val="000000" w:themeColor="text1"/>
          <w:sz w:val="28"/>
          <w:szCs w:val="28"/>
        </w:rPr>
        <w:t>ли проинформированы о требованиях в части соблюдения трудовых прав работников, объявлено 2119 предостережений о недопустимости нарушения трудового законодательства,  оказано 816 индивидуальных консультаций.</w:t>
      </w:r>
    </w:p>
    <w:p w:rsidR="004D69BA" w:rsidRDefault="00016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своевременного выявления задолженности по</w:t>
      </w:r>
      <w:r>
        <w:rPr>
          <w:color w:val="000000" w:themeColor="text1"/>
          <w:sz w:val="28"/>
          <w:szCs w:val="28"/>
        </w:rPr>
        <w:t xml:space="preserve"> заработной плате Гострудинспекцией применяется новый инструмент контрольных (надзорных) мероприятий по индикаторам риска нарушения обязательных требований за соблюдением трудового законодательства и иных нормативных правовых актов, содержащих нормы трудов</w:t>
      </w:r>
      <w:r>
        <w:rPr>
          <w:color w:val="000000" w:themeColor="text1"/>
          <w:sz w:val="28"/>
          <w:szCs w:val="28"/>
        </w:rPr>
        <w:t>ого права.</w:t>
      </w:r>
    </w:p>
    <w:p w:rsidR="004D69BA" w:rsidRDefault="00016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результате принятых Гострудинспекцией мер инспекторского реагирования, включая профилактические мероприятия, за 10 месяцев 2024 года выплачена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задержанная заработная плата </w:t>
      </w:r>
      <w:r>
        <w:rPr>
          <w:color w:val="000000" w:themeColor="text1"/>
          <w:sz w:val="28"/>
          <w:szCs w:val="28"/>
        </w:rPr>
        <w:t>9207 работникам на общую сумму 559,251 млн рублей.</w:t>
      </w:r>
    </w:p>
    <w:p w:rsidR="004D69BA" w:rsidRDefault="00016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контрольны</w:t>
      </w:r>
      <w:r>
        <w:rPr>
          <w:color w:val="000000" w:themeColor="text1"/>
          <w:sz w:val="28"/>
          <w:szCs w:val="28"/>
        </w:rPr>
        <w:t>х (надзорных) мероприятий, проведенных по согласованию с прокуратурой Новосибирской области, наиболее крупная задолженность погашена филиалом Федерального государственного бюджетного учреждения науки «Сибирский федеральный научный центр биотехнологий РАН» </w:t>
      </w:r>
      <w:r>
        <w:rPr>
          <w:color w:val="000000" w:themeColor="text1"/>
          <w:sz w:val="28"/>
          <w:szCs w:val="28"/>
        </w:rPr>
        <w:t xml:space="preserve">– в размере 7,2 млн рублей, ООО «Талос Констракшн» – 12,7 млн рублей, ООО «Подземтехстрой» – 12,2 млн. рублей. Частично погашена задолженность в отношении работников ООО </w:t>
      </w:r>
      <w:r>
        <w:rPr>
          <w:color w:val="000000" w:themeColor="text1"/>
          <w:sz w:val="28"/>
          <w:szCs w:val="28"/>
          <w:highlight w:val="white"/>
        </w:rPr>
        <w:t xml:space="preserve">«ТЕХВЭБ» </w:t>
      </w:r>
      <w:r>
        <w:rPr>
          <w:color w:val="000000" w:themeColor="text1"/>
          <w:sz w:val="28"/>
          <w:szCs w:val="28"/>
        </w:rPr>
        <w:t>в размере 149,6 млн рублей.</w:t>
      </w:r>
    </w:p>
    <w:p w:rsidR="004D69BA" w:rsidRDefault="00016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highlight w:val="white"/>
          <w:lang w:eastAsia="en-US"/>
        </w:rPr>
        <w:t>беспечивается деятельность межвед</w:t>
      </w:r>
      <w:r>
        <w:rPr>
          <w:rFonts w:eastAsia="Calibri"/>
          <w:sz w:val="28"/>
          <w:szCs w:val="28"/>
          <w:highlight w:val="white"/>
          <w:lang w:eastAsia="en-US"/>
        </w:rPr>
        <w:t>омственной комиссии при Правительстве Новосибирской области по противодействию формирования просроченной задолженности по заработной плате в хозяйствующих субъектах, находящихся на территории Новосибирской области, и аналогичных территориальных межведомств</w:t>
      </w:r>
      <w:r>
        <w:rPr>
          <w:rFonts w:eastAsia="Calibri"/>
          <w:sz w:val="28"/>
          <w:szCs w:val="28"/>
          <w:highlight w:val="white"/>
          <w:lang w:eastAsia="en-US"/>
        </w:rPr>
        <w:t>енных комиссий. Ситуация с выплатой задолженности по заработной плате отслеживается в оперативном режиме во взаимодействии с надзорными органами, руководителями и конкурсными управляющими организаций-должников. Работает «Горячая линия» министерства труда 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социального развития Новосибирской области. С начала 2024 года организациями-должниками выплачено более 380 млн рублей задержанной заработной платы.</w:t>
      </w:r>
    </w:p>
    <w:p w:rsidR="004D69BA" w:rsidRDefault="00016E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дальнейшего обеспечения защиты трудовых прав работников организаций Новосибирской области на своев</w:t>
      </w:r>
      <w:r>
        <w:rPr>
          <w:color w:val="000000" w:themeColor="text1"/>
          <w:sz w:val="28"/>
          <w:szCs w:val="28"/>
        </w:rPr>
        <w:t>ременную выплату заработной платы, Комиссия решила:</w:t>
      </w:r>
    </w:p>
    <w:p w:rsidR="004D69BA" w:rsidRDefault="00016EA1">
      <w:pPr>
        <w:pStyle w:val="afb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Рекомендовать Государственной инспекции труда в Новосибирской области продолжить проведение профилактических мероприятий, направленных на предупреждение нарушений работодателями обязательных требований</w:t>
      </w:r>
      <w:r>
        <w:rPr>
          <w:color w:val="000000" w:themeColor="text1"/>
          <w:sz w:val="28"/>
          <w:szCs w:val="28"/>
        </w:rPr>
        <w:t xml:space="preserve"> трудового законодательства.</w:t>
      </w:r>
    </w:p>
    <w:p w:rsidR="004D69BA" w:rsidRDefault="00016EA1">
      <w:pPr>
        <w:pStyle w:val="afb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>
        <w:rPr>
          <w:sz w:val="28"/>
          <w:szCs w:val="28"/>
        </w:rPr>
        <w:t>Рекомендовать работодателям, входящим в объединения работодателей Новосибирской области, обеспечить соблюдение требований трудового законодательства о своевременной выплате заработной платы работникам.</w:t>
      </w:r>
    </w:p>
    <w:p w:rsidR="004D69BA" w:rsidRDefault="00016EA1">
      <w:pPr>
        <w:pStyle w:val="afb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3.</w:t>
      </w:r>
      <w:r>
        <w:rPr>
          <w:sz w:val="28"/>
          <w:szCs w:val="28"/>
          <w:highlight w:val="white"/>
        </w:rPr>
        <w:t> Рекомендовать минис</w:t>
      </w:r>
      <w:r>
        <w:rPr>
          <w:sz w:val="28"/>
          <w:szCs w:val="28"/>
          <w:highlight w:val="white"/>
        </w:rPr>
        <w:t>терству труда и социального развития Новосибирской области проинформировать Новосибирский областной союз организаций профсоюзов «Федерация профсоюзов Новосибирской области» и Новосибирский региональный союз объединение работодателей «Союз руководителей пре</w:t>
      </w:r>
      <w:r>
        <w:rPr>
          <w:sz w:val="28"/>
          <w:szCs w:val="28"/>
          <w:highlight w:val="white"/>
        </w:rPr>
        <w:t xml:space="preserve">дприятий и работодателей» о текущей ситуации с задолженностью по выплате заработной платы работников организаций Новосибирской области. </w:t>
      </w:r>
    </w:p>
    <w:p w:rsidR="004D69BA" w:rsidRDefault="004D69BA">
      <w:pPr>
        <w:pStyle w:val="afb"/>
        <w:rPr>
          <w:sz w:val="28"/>
          <w:szCs w:val="28"/>
        </w:rPr>
      </w:pPr>
    </w:p>
    <w:p w:rsidR="004D69BA" w:rsidRDefault="004D69BA">
      <w:pPr>
        <w:pStyle w:val="afb"/>
        <w:rPr>
          <w:sz w:val="28"/>
          <w:szCs w:val="28"/>
        </w:rPr>
      </w:pPr>
    </w:p>
    <w:p w:rsidR="004D69BA" w:rsidRDefault="004D69BA">
      <w:pPr>
        <w:pStyle w:val="afb"/>
        <w:rPr>
          <w:sz w:val="28"/>
          <w:szCs w:val="28"/>
        </w:rPr>
      </w:pPr>
    </w:p>
    <w:p w:rsidR="004D69BA" w:rsidRDefault="00016EA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Координатор Комиссии,</w:t>
      </w:r>
    </w:p>
    <w:p w:rsidR="004D69BA" w:rsidRDefault="00016EA1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4D69BA" w:rsidRDefault="00016EA1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Правительства Новосибирской области                                                   В.М. Знатков</w:t>
      </w:r>
    </w:p>
    <w:sectPr w:rsidR="004D69BA">
      <w:headerReference w:type="even" r:id="rId7"/>
      <w:headerReference w:type="default" r:id="rId8"/>
      <w:pgSz w:w="11906" w:h="16838"/>
      <w:pgMar w:top="1134" w:right="567" w:bottom="1134" w:left="1418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A1" w:rsidRDefault="00016EA1">
      <w:r>
        <w:separator/>
      </w:r>
    </w:p>
  </w:endnote>
  <w:endnote w:type="continuationSeparator" w:id="0">
    <w:p w:rsidR="00016EA1" w:rsidRDefault="000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A1" w:rsidRDefault="00016EA1">
      <w:r>
        <w:separator/>
      </w:r>
    </w:p>
  </w:footnote>
  <w:footnote w:type="continuationSeparator" w:id="0">
    <w:p w:rsidR="00016EA1" w:rsidRDefault="0001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BA" w:rsidRDefault="00016EA1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D69BA" w:rsidRDefault="004D69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BA" w:rsidRDefault="00016EA1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25B84">
      <w:rPr>
        <w:rStyle w:val="afc"/>
        <w:noProof/>
      </w:rPr>
      <w:t>2</w:t>
    </w:r>
    <w:r>
      <w:rPr>
        <w:rStyle w:val="afc"/>
      </w:rPr>
      <w:fldChar w:fldCharType="end"/>
    </w:r>
  </w:p>
  <w:p w:rsidR="004D69BA" w:rsidRDefault="004D69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3B6A"/>
    <w:multiLevelType w:val="hybridMultilevel"/>
    <w:tmpl w:val="2EDAA926"/>
    <w:lvl w:ilvl="0" w:tplc="C104676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 w:tplc="E2162134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</w:rPr>
    </w:lvl>
    <w:lvl w:ilvl="2" w:tplc="4D2CDFEA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 w:tplc="C4380A1E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 w:tplc="676AC426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</w:rPr>
    </w:lvl>
    <w:lvl w:ilvl="5" w:tplc="797CEB22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 w:tplc="3776F970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 w:tplc="D06C7E36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</w:rPr>
    </w:lvl>
    <w:lvl w:ilvl="8" w:tplc="62F4A534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1">
    <w:nsid w:val="04BB3A79"/>
    <w:multiLevelType w:val="hybridMultilevel"/>
    <w:tmpl w:val="FE6AD6D6"/>
    <w:lvl w:ilvl="0" w:tplc="50CC1846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A2FC43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64C6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963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7CC6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48B6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3892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F23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E045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53B08E9"/>
    <w:multiLevelType w:val="hybridMultilevel"/>
    <w:tmpl w:val="0BF4FFFC"/>
    <w:lvl w:ilvl="0" w:tplc="F4282C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02455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94A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10A1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14B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12A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02D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A07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4E4A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C2B4C45"/>
    <w:multiLevelType w:val="hybridMultilevel"/>
    <w:tmpl w:val="88AA68AA"/>
    <w:lvl w:ilvl="0" w:tplc="AE06A2D0">
      <w:start w:val="1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99B08FC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AE244E2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EF0F4A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EB8376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3BA8EF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5FAC92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CE866F7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ED4AC89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BA"/>
    <w:rsid w:val="00016EA1"/>
    <w:rsid w:val="00325B84"/>
    <w:rsid w:val="004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E5A64-D2D7-48E2-AFB6-96BFA918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jc w:val="center"/>
    </w:pPr>
    <w:rPr>
      <w:sz w:val="28"/>
    </w:rPr>
  </w:style>
  <w:style w:type="paragraph" w:styleId="33">
    <w:name w:val="Body Text Indent 3"/>
    <w:basedOn w:val="a"/>
    <w:pPr>
      <w:ind w:firstLine="720"/>
      <w:jc w:val="both"/>
    </w:pPr>
    <w:rPr>
      <w:sz w:val="26"/>
    </w:rPr>
  </w:style>
  <w:style w:type="paragraph" w:styleId="af9">
    <w:name w:val="Body Text"/>
    <w:basedOn w:val="a"/>
    <w:link w:val="afa"/>
    <w:pPr>
      <w:jc w:val="both"/>
    </w:pPr>
    <w:rPr>
      <w:sz w:val="28"/>
    </w:rPr>
  </w:style>
  <w:style w:type="paragraph" w:styleId="afb">
    <w:name w:val="Body Text Indent"/>
    <w:basedOn w:val="a"/>
    <w:pPr>
      <w:ind w:firstLine="709"/>
      <w:jc w:val="both"/>
    </w:pPr>
    <w:rPr>
      <w:color w:val="000000"/>
      <w:sz w:val="26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pPr>
      <w:ind w:firstLine="709"/>
      <w:jc w:val="both"/>
    </w:pPr>
    <w:rPr>
      <w:sz w:val="28"/>
    </w:rPr>
  </w:style>
  <w:style w:type="paragraph" w:styleId="afe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customStyle="1" w:styleId="aff">
    <w:name w:val="Знак"/>
    <w:basedOn w:val="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customStyle="1" w:styleId="afa">
    <w:name w:val="Основной текст Знак"/>
    <w:link w:val="af9"/>
    <w:rPr>
      <w:sz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lastModifiedBy>Карпова Людмила  Александровна</cp:lastModifiedBy>
  <cp:revision>2</cp:revision>
  <dcterms:created xsi:type="dcterms:W3CDTF">2024-12-09T03:47:00Z</dcterms:created>
  <dcterms:modified xsi:type="dcterms:W3CDTF">2024-12-09T03:47:00Z</dcterms:modified>
  <cp:version>917504</cp:version>
</cp:coreProperties>
</file>