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B2" w:rsidRDefault="00C92DB2">
      <w:pPr>
        <w:jc w:val="right"/>
        <w:rPr>
          <w:sz w:val="28"/>
          <w:szCs w:val="28"/>
        </w:rPr>
      </w:pPr>
      <w:bookmarkStart w:id="0" w:name="_GoBack"/>
      <w:bookmarkEnd w:id="0"/>
    </w:p>
    <w:p w:rsidR="00C92DB2" w:rsidRDefault="009F2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НОВОСИБИРСКАЯ ОБЛАСТНАЯ</w:t>
      </w:r>
    </w:p>
    <w:p w:rsidR="00C92DB2" w:rsidRDefault="009F2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ТРЕХСТОРОННЯЯ КОМИССИЯ ПО РЕГУЛИРОВАНИЮ</w:t>
      </w:r>
    </w:p>
    <w:p w:rsidR="00C92DB2" w:rsidRDefault="009F29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СОЦИАЛЬНО-ТРУДОВЫХ ОТНОШЕНИЙ</w:t>
      </w:r>
    </w:p>
    <w:p w:rsidR="00C92DB2" w:rsidRDefault="00C92DB2">
      <w:pPr>
        <w:jc w:val="center"/>
        <w:rPr>
          <w:b/>
          <w:sz w:val="28"/>
          <w:szCs w:val="28"/>
        </w:rPr>
      </w:pPr>
    </w:p>
    <w:p w:rsidR="00C92DB2" w:rsidRDefault="009F2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92DB2" w:rsidRDefault="00C92DB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3"/>
        <w:gridCol w:w="3325"/>
        <w:gridCol w:w="3283"/>
      </w:tblGrid>
      <w:tr w:rsidR="00C92DB2">
        <w:tc>
          <w:tcPr>
            <w:tcW w:w="3379" w:type="dxa"/>
            <w:shd w:val="clear" w:color="FFFFFF" w:fill="FFFFFF"/>
          </w:tcPr>
          <w:p w:rsidR="00C92DB2" w:rsidRDefault="009F29C9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18.12.2023</w:t>
            </w:r>
          </w:p>
        </w:tc>
        <w:tc>
          <w:tcPr>
            <w:tcW w:w="3379" w:type="dxa"/>
            <w:shd w:val="clear" w:color="FFFFFF" w:fill="FFFFFF"/>
          </w:tcPr>
          <w:p w:rsidR="00C92DB2" w:rsidRDefault="009F29C9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379" w:type="dxa"/>
            <w:shd w:val="clear" w:color="FFFFFF" w:fill="FFFFFF"/>
          </w:tcPr>
          <w:p w:rsidR="00C92DB2" w:rsidRDefault="009F29C9">
            <w:pPr>
              <w:keepNext/>
              <w:widowControl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 5/3</w:t>
            </w:r>
          </w:p>
        </w:tc>
      </w:tr>
    </w:tbl>
    <w:p w:rsidR="00C92DB2" w:rsidRDefault="00C92DB2">
      <w:pPr>
        <w:jc w:val="both"/>
        <w:rPr>
          <w:sz w:val="28"/>
          <w:szCs w:val="28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6377"/>
        <w:gridCol w:w="3546"/>
      </w:tblGrid>
      <w:tr w:rsidR="00C92DB2">
        <w:tc>
          <w:tcPr>
            <w:tcW w:w="6377" w:type="dxa"/>
            <w:shd w:val="clear" w:color="FFFFFF" w:fill="FFFFFF"/>
          </w:tcPr>
          <w:p w:rsidR="00C92DB2" w:rsidRDefault="009F2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соблюдении трудового законодательства</w:t>
            </w:r>
          </w:p>
          <w:p w:rsidR="00C92DB2" w:rsidRDefault="009F2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организациях Новосибирской области </w:t>
            </w:r>
          </w:p>
          <w:p w:rsidR="00C92DB2" w:rsidRDefault="009F2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мерах по обеспечению трудовых прав работников</w:t>
            </w:r>
          </w:p>
        </w:tc>
        <w:tc>
          <w:tcPr>
            <w:tcW w:w="3546" w:type="dxa"/>
            <w:shd w:val="clear" w:color="FFFFFF" w:fill="FFFFFF"/>
          </w:tcPr>
          <w:p w:rsidR="00C92DB2" w:rsidRDefault="00C92DB2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C92DB2" w:rsidRDefault="00C92DB2">
      <w:pPr>
        <w:rPr>
          <w:color w:val="000000" w:themeColor="text1"/>
          <w:sz w:val="28"/>
          <w:szCs w:val="28"/>
        </w:rPr>
      </w:pPr>
    </w:p>
    <w:p w:rsidR="00C92DB2" w:rsidRDefault="009F29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Комиссия отмечает, что в Новосибирской области в 2023 году продолжалась работа по выявлению и устранению нарушений трудового законодательства.</w:t>
      </w:r>
    </w:p>
    <w:p w:rsidR="00C92DB2" w:rsidRDefault="009F29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Государственной инспекцией труда в Новосибирской области (далее</w:t>
      </w:r>
      <w:r>
        <w:rPr>
          <w:color w:val="000000" w:themeColor="text1"/>
          <w:sz w:val="28"/>
          <w:szCs w:val="28"/>
        </w:rPr>
        <w:t xml:space="preserve"> – Гострудинспекция) на системной основе осуществлялся федеральный государственный </w:t>
      </w:r>
      <w:hyperlink r:id="rId7" w:tooltip="consultantplus://offline/ref=0483653078DAA65AF5C094EE69F54A42A664EF5AC0F7AA890010D0479A6ECCF31F2A838272910DCC09871A900FA0166C300D0BCAD7C343D3b2T1G" w:history="1">
        <w:r>
          <w:rPr>
            <w:color w:val="000000" w:themeColor="text1"/>
            <w:sz w:val="28"/>
            <w:szCs w:val="28"/>
          </w:rPr>
          <w:t>контроль</w:t>
        </w:r>
      </w:hyperlink>
      <w:r>
        <w:rPr>
          <w:color w:val="000000" w:themeColor="text1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</w:t>
      </w:r>
      <w:r>
        <w:rPr>
          <w:color w:val="000000" w:themeColor="text1"/>
          <w:sz w:val="28"/>
          <w:szCs w:val="28"/>
        </w:rPr>
        <w:t>рава.</w:t>
      </w:r>
    </w:p>
    <w:p w:rsidR="00C92DB2" w:rsidRDefault="009F29C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состоянию на 01.12.2023 проведено </w:t>
      </w:r>
      <w:r>
        <w:rPr>
          <w:sz w:val="28"/>
          <w:szCs w:val="28"/>
        </w:rPr>
        <w:t xml:space="preserve">75 контрольных (надзорных) мероприятий, 849 профилактических визитов, объявлено 2221 предостережение о недопустимости нарушения трудового законодательства, оказано 1139 правовых консультаций работодателям. </w:t>
      </w:r>
    </w:p>
    <w:p w:rsidR="00C92DB2" w:rsidRDefault="009F29C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 ито</w:t>
      </w:r>
      <w:r>
        <w:rPr>
          <w:sz w:val="28"/>
          <w:szCs w:val="28"/>
          <w:highlight w:val="white"/>
        </w:rPr>
        <w:t>гам проведения проверок Гострудинспекцией выявлено 370 нарушений,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 них 193 (52%) по вопросам охраны труда, 61 (16%) – оплаты труда, в том числе 35 нарушений по вопросам несоблюдения требований по выплате заработной платы, 27 нарушений в части оформления </w:t>
      </w:r>
      <w:r>
        <w:rPr>
          <w:sz w:val="28"/>
          <w:szCs w:val="28"/>
          <w:highlight w:val="white"/>
        </w:rPr>
        <w:t>трудовых отношений. Выдано 90 предписаний, которые исполнены в установленный срок, виновные должностные лица привлечены к административной ответственности. Наибольшее количество нарушений трудового законодательства выявлено в организациях промышленности, с</w:t>
      </w:r>
      <w:r>
        <w:rPr>
          <w:sz w:val="28"/>
          <w:szCs w:val="28"/>
          <w:highlight w:val="white"/>
        </w:rPr>
        <w:t xml:space="preserve">троительства и торговли. </w:t>
      </w:r>
    </w:p>
    <w:p w:rsidR="00C92DB2" w:rsidRDefault="009F2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внимание в ходе надзорных и профилактических мероприятий уделяется вопросам оплаты труда. Основная часть нарушений касается сроков выплаты заработной платы, несвоевременности выплаты окончательного расчета при увольне</w:t>
      </w:r>
      <w:r>
        <w:rPr>
          <w:sz w:val="28"/>
          <w:szCs w:val="28"/>
        </w:rPr>
        <w:t>нии, выплаты заработной платы ниже установленного уровня минимального размера оплаты труда, неоплаты в повышенном размере сверхурочной работы и работы в выходные и праздничные дни.</w:t>
      </w:r>
    </w:p>
    <w:p w:rsidR="00C92DB2" w:rsidRDefault="009F2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Гострудинспекцию за период с 01.01.2023 по 01.12.2023 поступило 3112 обра</w:t>
      </w:r>
      <w:r>
        <w:rPr>
          <w:sz w:val="28"/>
          <w:szCs w:val="28"/>
        </w:rPr>
        <w:t xml:space="preserve">щений граждан. В результате инспекторского реагирования восстановлены права 5389 работников, включая выплату задержанной заработной платы на общую сумму 84,5 млн рублей. </w:t>
      </w:r>
    </w:p>
    <w:p w:rsidR="00C92DB2" w:rsidRDefault="009F2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трудового законодательства в 2023 году вынесено 1049 постановлений о наз</w:t>
      </w:r>
      <w:r>
        <w:rPr>
          <w:sz w:val="28"/>
          <w:szCs w:val="28"/>
        </w:rPr>
        <w:t>начении административного наказания на должностных и юридических лиц. Общая сумма наложенных штрафов составила 16,3 млн рублей.</w:t>
      </w:r>
    </w:p>
    <w:p w:rsidR="00C92DB2" w:rsidRDefault="009F29C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 xml:space="preserve">В результате контроля за соблюдением законодательства по вопросам охраны труда наложено административных штрафов на сумму 9 млн </w:t>
      </w:r>
      <w:r>
        <w:rPr>
          <w:color w:val="000000" w:themeColor="text1"/>
          <w:sz w:val="28"/>
          <w:szCs w:val="28"/>
        </w:rPr>
        <w:t>рублей. За выявленные нарушения в части непрохождения обучения и проверки знаний требований охраны труда, отсутствия медицинских осмотров работодатели были привлечены к административной ответственности на сумму 5,7 млн рублей, за нарушение порядка обеспече</w:t>
      </w:r>
      <w:r>
        <w:rPr>
          <w:color w:val="000000" w:themeColor="text1"/>
          <w:sz w:val="28"/>
          <w:szCs w:val="28"/>
        </w:rPr>
        <w:t>ния работников средствами индивидуальной и коллективной защиты - на сумму 2,8 млн рублей, за нарушения соблюдения установленного порядка проведения специальной оценки условий труда на рабочих местах - на сумму 0,5 млн рублей.</w:t>
      </w:r>
    </w:p>
    <w:p w:rsidR="00C92DB2" w:rsidRDefault="009F29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01.11.2023 Гос</w:t>
      </w:r>
      <w:r>
        <w:rPr>
          <w:color w:val="000000" w:themeColor="text1"/>
          <w:sz w:val="28"/>
          <w:szCs w:val="28"/>
        </w:rPr>
        <w:t>трудинспекцией в составе комиссий, образованных работодателем, проведено 73 расследования несчастных случаев на производстве, в том числе 5 групповых несчастных случаев, 44 тяжелых несчастных случая, 24 несчастных случая со смертельным исходом.</w:t>
      </w:r>
    </w:p>
    <w:p w:rsidR="00C92DB2" w:rsidRDefault="009F29C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Основными в</w:t>
      </w:r>
      <w:r>
        <w:rPr>
          <w:color w:val="000000" w:themeColor="text1"/>
          <w:sz w:val="28"/>
          <w:szCs w:val="28"/>
        </w:rPr>
        <w:t>идами несчастных случаев на производстве с тяжелыми последствиями являются: транспортные происшествия на наземном транспорте – 16, падение пострадавшего с высоты – 27, воздействие движущихся, разлетающихся, вращающихся предметов, деталей, машин – 12.</w:t>
      </w:r>
    </w:p>
    <w:p w:rsidR="00C92DB2" w:rsidRDefault="009F29C9">
      <w:pPr>
        <w:tabs>
          <w:tab w:val="left" w:pos="420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</w:t>
      </w:r>
      <w:r>
        <w:rPr>
          <w:color w:val="000000" w:themeColor="text1"/>
          <w:sz w:val="28"/>
          <w:szCs w:val="28"/>
        </w:rPr>
        <w:t>тельством Новосибирской области во взаимодействии с прокуратурой Новосибирской области, следственным управлением Следственного комитета Российской Федерации по Новосибирской области, Управлением Федеральной службы судебных приставов по Новосибирской област</w:t>
      </w:r>
      <w:r>
        <w:rPr>
          <w:color w:val="000000" w:themeColor="text1"/>
          <w:sz w:val="28"/>
          <w:szCs w:val="28"/>
        </w:rPr>
        <w:t>и, Государственной инспекцией труда в Новосибирской области и другими уполномоченными ведомствами проводится системная работа, направленная на обеспечение трудовых прав работников на своевременную выплату заработной платы. Установлено постоянное взаимодейс</w:t>
      </w:r>
      <w:r>
        <w:rPr>
          <w:color w:val="000000" w:themeColor="text1"/>
          <w:sz w:val="28"/>
          <w:szCs w:val="28"/>
        </w:rPr>
        <w:t xml:space="preserve">твие с руководителями и конкурсными управляющими организаций-должников по вопросу о принимаемых мерах по ликвидации задолженности. </w:t>
      </w:r>
    </w:p>
    <w:p w:rsidR="00C92DB2" w:rsidRDefault="009F29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результате совместно принятых мер с начала текущего года организациями-должниками выплачено более 300 млн рублей задержанн</w:t>
      </w:r>
      <w:r>
        <w:rPr>
          <w:color w:val="000000" w:themeColor="text1"/>
          <w:sz w:val="28"/>
          <w:szCs w:val="28"/>
        </w:rPr>
        <w:t xml:space="preserve">ой заработной платы, ликвидирована задолженность в 15 организациях. </w:t>
      </w:r>
    </w:p>
    <w:p w:rsidR="00C92DB2" w:rsidRDefault="009F2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дальнейшего взаимодействия социальных партнеров по защите трудовых прав работников, Комиссия решила:</w:t>
      </w:r>
    </w:p>
    <w:p w:rsidR="00C92DB2" w:rsidRDefault="009F2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Сторонам социального партнерства продолжить обмен информацией по выявленным нарушениям трудового законодательства для принятия совместных мер по их устранению.</w:t>
      </w:r>
    </w:p>
    <w:p w:rsidR="00C92DB2" w:rsidRDefault="009F29C9">
      <w:pPr>
        <w:pStyle w:val="af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работодателям, входящим в объединения работодателей Новосибирской области:</w:t>
      </w:r>
    </w:p>
    <w:p w:rsidR="00C92DB2" w:rsidRDefault="009F29C9">
      <w:pPr>
        <w:pStyle w:val="afe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> обеспечивать соблюдение требований трудового законодательства в части полноты и своевременности выплаты заработной платы работникам организаций;</w:t>
      </w:r>
    </w:p>
    <w:p w:rsidR="00C92DB2" w:rsidRDefault="009F29C9">
      <w:pPr>
        <w:pStyle w:val="afe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> принять дополнительные меры по недопущению несчастных случаев на производстве, в организациях с высоким уров</w:t>
      </w:r>
      <w:r>
        <w:rPr>
          <w:sz w:val="28"/>
          <w:szCs w:val="28"/>
        </w:rPr>
        <w:t>нем производственного травматизма;</w:t>
      </w:r>
    </w:p>
    <w:p w:rsidR="00C92DB2" w:rsidRDefault="009F29C9">
      <w:pPr>
        <w:pStyle w:val="afe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> разработать план мероприятий в отраслях строительства, транспорта, промышленности предусматривающий снижение риска причинения вреда жизни, здоровья и трудовых прав граждан.</w:t>
      </w:r>
    </w:p>
    <w:p w:rsidR="00C92DB2" w:rsidRDefault="009F29C9">
      <w:pPr>
        <w:pStyle w:val="af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 Федерации профсоюзов Новосибирской области </w:t>
      </w:r>
      <w:r>
        <w:rPr>
          <w:sz w:val="28"/>
          <w:szCs w:val="28"/>
        </w:rPr>
        <w:t>при проведении общественного контроля за соблюдением трудового законодательства в организациях своевременно информировать о выявленных нарушениях Государственную инспекцию труда в Новосибирской области и прокуратуру Новосибирской области.</w:t>
      </w:r>
    </w:p>
    <w:p w:rsidR="00C92DB2" w:rsidRDefault="009F29C9">
      <w:pPr>
        <w:pStyle w:val="af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Рекомендовать </w:t>
      </w:r>
      <w:r>
        <w:rPr>
          <w:sz w:val="28"/>
          <w:szCs w:val="28"/>
        </w:rPr>
        <w:t>Государственной инспекции труда в Новосибирской области продолжить профилактическую работу с целью предупреждения нарушений трудового законодательства.</w:t>
      </w:r>
    </w:p>
    <w:p w:rsidR="00C92DB2" w:rsidRDefault="009F29C9">
      <w:pPr>
        <w:pStyle w:val="afb"/>
        <w:widowControl w:val="0"/>
        <w:rPr>
          <w:sz w:val="28"/>
          <w:szCs w:val="28"/>
        </w:rPr>
      </w:pPr>
      <w:r>
        <w:rPr>
          <w:sz w:val="28"/>
          <w:szCs w:val="28"/>
        </w:rPr>
        <w:t>5. Территориальным трехсторонним комиссиям по регулированию социально-трудовых отношений продолжить прак</w:t>
      </w:r>
      <w:r>
        <w:rPr>
          <w:sz w:val="28"/>
          <w:szCs w:val="28"/>
        </w:rPr>
        <w:t>тику рассмотрения на заседаниях вопросов соблюдения трудового законодательства.</w:t>
      </w:r>
    </w:p>
    <w:p w:rsidR="00C92DB2" w:rsidRDefault="00C92DB2">
      <w:pPr>
        <w:pStyle w:val="afb"/>
        <w:widowControl w:val="0"/>
        <w:rPr>
          <w:sz w:val="28"/>
          <w:szCs w:val="28"/>
        </w:rPr>
      </w:pPr>
    </w:p>
    <w:p w:rsidR="00C92DB2" w:rsidRDefault="00C92DB2">
      <w:pPr>
        <w:pStyle w:val="afb"/>
        <w:widowControl w:val="0"/>
        <w:rPr>
          <w:sz w:val="28"/>
          <w:szCs w:val="28"/>
        </w:rPr>
      </w:pPr>
    </w:p>
    <w:p w:rsidR="00C92DB2" w:rsidRDefault="00C92DB2">
      <w:pPr>
        <w:pStyle w:val="afb"/>
        <w:widowControl w:val="0"/>
        <w:rPr>
          <w:sz w:val="28"/>
          <w:szCs w:val="28"/>
        </w:rPr>
      </w:pPr>
    </w:p>
    <w:p w:rsidR="00C92DB2" w:rsidRDefault="009F29C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Координатор Комиссии,</w:t>
      </w:r>
    </w:p>
    <w:p w:rsidR="00C92DB2" w:rsidRDefault="009F29C9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 Председателя</w:t>
      </w:r>
    </w:p>
    <w:p w:rsidR="00C92DB2" w:rsidRDefault="009F29C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Правительства Новосибирской области                                                   В.М. Знатков</w:t>
      </w:r>
    </w:p>
    <w:sectPr w:rsidR="00C92DB2">
      <w:headerReference w:type="even" r:id="rId8"/>
      <w:headerReference w:type="default" r:id="rId9"/>
      <w:pgSz w:w="11906" w:h="16838"/>
      <w:pgMar w:top="1134" w:right="567" w:bottom="1134" w:left="1418" w:header="62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C9" w:rsidRDefault="009F29C9">
      <w:r>
        <w:separator/>
      </w:r>
    </w:p>
  </w:endnote>
  <w:endnote w:type="continuationSeparator" w:id="0">
    <w:p w:rsidR="009F29C9" w:rsidRDefault="009F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C9" w:rsidRDefault="009F29C9">
      <w:r>
        <w:separator/>
      </w:r>
    </w:p>
  </w:footnote>
  <w:footnote w:type="continuationSeparator" w:id="0">
    <w:p w:rsidR="009F29C9" w:rsidRDefault="009F2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B2" w:rsidRDefault="009F29C9">
    <w:pPr>
      <w:pStyle w:val="a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92DB2" w:rsidRDefault="00C92DB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B2" w:rsidRDefault="009F29C9">
    <w:pPr>
      <w:pStyle w:val="a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C80F4B">
      <w:rPr>
        <w:rStyle w:val="afc"/>
        <w:noProof/>
      </w:rPr>
      <w:t>3</w:t>
    </w:r>
    <w:r>
      <w:rPr>
        <w:rStyle w:val="afc"/>
      </w:rPr>
      <w:fldChar w:fldCharType="end"/>
    </w:r>
  </w:p>
  <w:p w:rsidR="00C92DB2" w:rsidRDefault="00C92D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F37D9"/>
    <w:multiLevelType w:val="hybridMultilevel"/>
    <w:tmpl w:val="9434FBE8"/>
    <w:lvl w:ilvl="0" w:tplc="79A2B7E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84EE31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C2B4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5ECB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BAFE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320C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DC3B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369A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B29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8263D94"/>
    <w:multiLevelType w:val="hybridMultilevel"/>
    <w:tmpl w:val="42485330"/>
    <w:lvl w:ilvl="0" w:tplc="F2927C7C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1" w:tplc="292AA0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B290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265D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3446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AC00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BA24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EE89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C03C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8D84994"/>
    <w:multiLevelType w:val="hybridMultilevel"/>
    <w:tmpl w:val="1392479E"/>
    <w:lvl w:ilvl="0" w:tplc="E67CB87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1" w:tplc="08A28322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</w:rPr>
    </w:lvl>
    <w:lvl w:ilvl="2" w:tplc="3F2626FA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/>
      </w:rPr>
    </w:lvl>
    <w:lvl w:ilvl="3" w:tplc="ABF8F48A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  <w:lvl w:ilvl="4" w:tplc="E2546DBE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</w:rPr>
    </w:lvl>
    <w:lvl w:ilvl="5" w:tplc="9FFE5B92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/>
      </w:rPr>
    </w:lvl>
    <w:lvl w:ilvl="6" w:tplc="859C1924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</w:rPr>
    </w:lvl>
    <w:lvl w:ilvl="7" w:tplc="CA38763C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</w:rPr>
    </w:lvl>
    <w:lvl w:ilvl="8" w:tplc="7BD288AA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/>
      </w:rPr>
    </w:lvl>
  </w:abstractNum>
  <w:abstractNum w:abstractNumId="3">
    <w:nsid w:val="56205AB6"/>
    <w:multiLevelType w:val="hybridMultilevel"/>
    <w:tmpl w:val="9236B710"/>
    <w:lvl w:ilvl="0" w:tplc="7A9E74A4">
      <w:start w:val="1"/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4712CF1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0444FA4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E8BE82E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2C48EB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30A6AE6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F838406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C3DAF58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D1FC280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B2"/>
    <w:rsid w:val="009F29C9"/>
    <w:rsid w:val="00C80F4B"/>
    <w:rsid w:val="00C9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A087C-DFC8-4B78-9EFF-8FF3A1CA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851"/>
      <w:jc w:val="both"/>
      <w:outlineLvl w:val="1"/>
    </w:pPr>
    <w:rPr>
      <w:color w:val="008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25">
    <w:name w:val="Body Text 2"/>
    <w:basedOn w:val="a"/>
    <w:pPr>
      <w:jc w:val="center"/>
    </w:pPr>
    <w:rPr>
      <w:sz w:val="28"/>
    </w:rPr>
  </w:style>
  <w:style w:type="paragraph" w:styleId="33">
    <w:name w:val="Body Text Indent 3"/>
    <w:basedOn w:val="a"/>
    <w:pPr>
      <w:ind w:firstLine="720"/>
      <w:jc w:val="both"/>
    </w:pPr>
    <w:rPr>
      <w:sz w:val="26"/>
    </w:rPr>
  </w:style>
  <w:style w:type="paragraph" w:styleId="af9">
    <w:name w:val="Body Text"/>
    <w:basedOn w:val="a"/>
    <w:link w:val="afa"/>
    <w:pPr>
      <w:jc w:val="both"/>
    </w:pPr>
    <w:rPr>
      <w:sz w:val="28"/>
      <w:lang w:val="en-US" w:eastAsia="en-US"/>
    </w:rPr>
  </w:style>
  <w:style w:type="paragraph" w:styleId="afb">
    <w:name w:val="Body Text Indent"/>
    <w:basedOn w:val="a"/>
    <w:pPr>
      <w:ind w:firstLine="709"/>
      <w:jc w:val="both"/>
    </w:pPr>
    <w:rPr>
      <w:color w:val="000000"/>
      <w:sz w:val="26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afc">
    <w:name w:val="page number"/>
    <w:basedOn w:val="a0"/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pPr>
      <w:ind w:firstLine="709"/>
      <w:jc w:val="both"/>
    </w:pPr>
    <w:rPr>
      <w:sz w:val="28"/>
    </w:rPr>
  </w:style>
  <w:style w:type="paragraph" w:styleId="afe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paragraph" w:customStyle="1" w:styleId="aff">
    <w:name w:val="Знак"/>
    <w:basedOn w:val="a"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customStyle="1" w:styleId="afa">
    <w:name w:val="Основной текст Знак"/>
    <w:link w:val="a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83653078DAA65AF5C094EE69F54A42A664EF5AC0F7AA890010D0479A6ECCF31F2A838272910DCC09871A900FA0166C300D0BCAD7C343D3b2T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lastModifiedBy>Карпова Людмила  Александровна</cp:lastModifiedBy>
  <cp:revision>2</cp:revision>
  <dcterms:created xsi:type="dcterms:W3CDTF">2023-12-22T04:16:00Z</dcterms:created>
  <dcterms:modified xsi:type="dcterms:W3CDTF">2023-12-22T04:16:00Z</dcterms:modified>
  <cp:version>1048576</cp:version>
</cp:coreProperties>
</file>