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blPrEx/>
        <w:trPr/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24.04.2024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2/2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4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  <w:t xml:space="preserve">Об обеспечении кадрами предприятий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  <w:t xml:space="preserve">оборонной промышленности в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Заслушав информацию об обеспечении кадрами предприятий оборонной промышленности в Новосибирской области</w:t>
      </w:r>
      <w:r>
        <w:rPr>
          <w:sz w:val="28"/>
          <w:szCs w:val="28"/>
        </w:rPr>
        <w:t xml:space="preserve">, Новосибирская областная трехсторонняя комиссия по регулированию социально-трудовых отношений (далее – Комиссия) отмечает, что работа по оперативному обеспечению кадровой потребности предприятий оборонно-промышленного комплекса (далее – ОПК) региона наход</w:t>
      </w:r>
      <w:r>
        <w:rPr>
          <w:sz w:val="28"/>
          <w:szCs w:val="28"/>
        </w:rPr>
        <w:t xml:space="preserve">ится на постоянном контроле Правительства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соответствии с уточненным списком Минпромторга России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Новосибирской области расположено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предприятий ОПК, из них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 предприятий заявили о дополнительной по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требности в кадрах в количестве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2024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 челове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(6% от общей текущей кадровой потребности),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 том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числе потребность в производственном персонале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 необходимом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для производства государственного оборонного заказа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–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1772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челов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ек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а, из них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специалистов с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высшим образованием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479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человек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специалистов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со средним профессиональным образованием – 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119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человек.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 Новосибирской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реализ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уется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«дорожн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карт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по комплектованию кадрами предприятий ОПК, в рамках которой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водится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информационн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кампани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 организу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ются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пресс-туры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и другие информационные мероприятия. С целью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привлечения соискателей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максимально освещаются условия труда на предприятиях, предоставляемые работникам льготы и гарантии.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остоялось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15 выездов мобильных пунктов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по набору работников на 14 предприятий ОПК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которые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посетило более 1130 жителей 19 муниципальных районов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Новосибирской области, проведено более 380 собеседований и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ндивидуальных консультаций.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pStyle w:val="765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В рамках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программы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переобучени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я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 работников предприятий ОПК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 за счет средств федерального бюджета и областного бюджета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прошло обучение 2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58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 работников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из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8 предприятий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ОПК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Предприятиям предоставлены субсидии на обучение работников на сумму 7,5 млн рублей.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В 2024 году запланировано предоставление субсидий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на сумму 8,9 млн рублей. Обучение смогут пройти более 200 работников предприятий ОПК.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639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январе-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апреле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2024 года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орга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низован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ы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специализированные ярмарки вакансий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для промышленных предприятий, в том числе для предприятий ОПК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 в которых приняло участие более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190 человек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Государственными учреждениями службы занятости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населения совместно с предприятиями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одятся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профтуры на предприятия ОПК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ищущих работу граждан, проживающих в сельских населенных пунктах, находящихс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я в территориальной близости к городу Новосибирску.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Проведено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более 300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мероприяти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гарантированны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собеседования, подбор работников по заявкам работодателей, презентация предприятий, экспресс-трудоустройств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720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</w:t>
      </w:r>
      <w:r>
        <w:rPr>
          <w:color w:val="auto"/>
          <w:sz w:val="28"/>
          <w:szCs w:val="28"/>
          <w:highlight w:val="white"/>
        </w:rPr>
        <w:t xml:space="preserve"> целях оперативного обеспечения кадровой потребности предприятий ОПК, а также трудоустройства выпускников и студентов профильных и смежных профес</w:t>
      </w:r>
      <w:r>
        <w:rPr>
          <w:color w:val="auto"/>
          <w:sz w:val="28"/>
          <w:szCs w:val="28"/>
          <w:highlight w:val="white"/>
        </w:rPr>
        <w:t xml:space="preserve">сий и специальностей 13 профессиональных образовательных учреждений, подведомственных министерству образования Новосибирской области, осуществляют взаимо</w:t>
      </w:r>
      <w:r>
        <w:rPr>
          <w:color w:val="auto"/>
          <w:sz w:val="28"/>
          <w:szCs w:val="28"/>
          <w:highlight w:val="white"/>
        </w:rPr>
        <w:t xml:space="preserve">действие с 30 предприятиями ОПК</w:t>
      </w:r>
      <w:r>
        <w:rPr>
          <w:color w:val="auto"/>
          <w:sz w:val="28"/>
          <w:szCs w:val="28"/>
          <w:highlight w:val="white"/>
        </w:rPr>
        <w:t xml:space="preserve"> городов Новосибирска, Куйбышева и Искитима Новосибирской области. Закл</w:t>
      </w:r>
      <w:r>
        <w:rPr>
          <w:color w:val="auto"/>
          <w:sz w:val="28"/>
          <w:szCs w:val="28"/>
          <w:highlight w:val="white"/>
        </w:rPr>
        <w:t xml:space="preserve">ючено </w:t>
      </w:r>
      <w:r>
        <w:rPr>
          <w:color w:val="auto"/>
          <w:sz w:val="28"/>
          <w:szCs w:val="28"/>
          <w:highlight w:val="white"/>
        </w:rPr>
        <w:t xml:space="preserve">20</w:t>
      </w:r>
      <w:r>
        <w:rPr>
          <w:color w:val="auto"/>
          <w:sz w:val="28"/>
          <w:szCs w:val="28"/>
          <w:highlight w:val="white"/>
        </w:rPr>
        <w:t xml:space="preserve">9</w:t>
      </w:r>
      <w:r>
        <w:rPr>
          <w:color w:val="auto"/>
          <w:sz w:val="28"/>
          <w:szCs w:val="28"/>
          <w:highlight w:val="white"/>
        </w:rPr>
        <w:t xml:space="preserve"> договоров о взаимодействии в целях практической подготовки кадров.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Подготовку кадров в интересах предприятий ОПК в Новосибирской области осуществляют девять образовательных организаций высшего образования (далее – ВУЗов), которыми заключено более</w:t>
      </w:r>
      <w:r>
        <w:rPr>
          <w:color w:val="auto"/>
          <w:sz w:val="28"/>
          <w:szCs w:val="28"/>
          <w:highlight w:val="white"/>
        </w:rPr>
        <w:t xml:space="preserve"> 60 соглашений о сотрудничестве с организациями ОПК, включая организацию производственной практики студентов ВУЗов.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20"/>
        <w:jc w:val="both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  <w:t xml:space="preserve">О</w:t>
      </w:r>
      <w:r>
        <w:rPr>
          <w:color w:val="auto"/>
          <w:sz w:val="28"/>
          <w:szCs w:val="28"/>
          <w:highlight w:val="white"/>
        </w:rPr>
        <w:t xml:space="preserve">сновные направления взаимодействия </w:t>
      </w:r>
      <w:r>
        <w:rPr>
          <w:color w:val="auto"/>
          <w:sz w:val="28"/>
          <w:szCs w:val="28"/>
          <w:highlight w:val="white"/>
        </w:rPr>
        <w:t xml:space="preserve">с предприятиями ОПК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в 2023/2024 учебном году: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20"/>
        <w:jc w:val="both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  <w:t xml:space="preserve">- заключение договоров целевого обучения со студентами в целях их трудоустрой</w:t>
      </w:r>
      <w:r>
        <w:rPr>
          <w:color w:val="auto"/>
          <w:sz w:val="28"/>
          <w:szCs w:val="28"/>
          <w:highlight w:val="white"/>
        </w:rPr>
        <w:t xml:space="preserve">ства на предприятия по завершении обучения (</w:t>
      </w:r>
      <w:r>
        <w:rPr>
          <w:color w:val="auto"/>
          <w:sz w:val="28"/>
          <w:szCs w:val="28"/>
          <w:highlight w:val="white"/>
        </w:rPr>
        <w:t xml:space="preserve">52</w:t>
      </w:r>
      <w:r>
        <w:rPr>
          <w:color w:val="auto"/>
          <w:sz w:val="28"/>
          <w:szCs w:val="28"/>
          <w:highlight w:val="white"/>
        </w:rPr>
        <w:t xml:space="preserve"> договора целевого обучения с последующим трудоус</w:t>
      </w:r>
      <w:r>
        <w:rPr>
          <w:color w:val="auto"/>
          <w:sz w:val="28"/>
          <w:szCs w:val="28"/>
          <w:highlight w:val="white"/>
        </w:rPr>
        <w:t xml:space="preserve">тройством на предприятия ОПК со </w:t>
      </w:r>
      <w:r>
        <w:rPr>
          <w:color w:val="auto"/>
          <w:sz w:val="28"/>
          <w:szCs w:val="28"/>
          <w:highlight w:val="white"/>
        </w:rPr>
        <w:t xml:space="preserve">студентами профессиональных образовател</w:t>
      </w:r>
      <w:r>
        <w:rPr>
          <w:color w:val="auto"/>
          <w:sz w:val="28"/>
          <w:szCs w:val="28"/>
          <w:highlight w:val="white"/>
        </w:rPr>
        <w:t xml:space="preserve">ьных учреждений, 103 договора о </w:t>
      </w:r>
      <w:r>
        <w:rPr>
          <w:color w:val="auto"/>
          <w:sz w:val="28"/>
          <w:szCs w:val="28"/>
          <w:highlight w:val="white"/>
        </w:rPr>
        <w:t xml:space="preserve">целевом обучении со студентами ВУЗов) </w:t>
      </w:r>
      <w:r>
        <w:rPr>
          <w:sz w:val="28"/>
          <w:szCs w:val="28"/>
          <w:highlight w:val="white"/>
        </w:rPr>
        <w:t xml:space="preserve">в рамках набора 2023/2024 года</w:t>
      </w:r>
      <w:r>
        <w:rPr>
          <w:color w:val="auto"/>
          <w:sz w:val="28"/>
          <w:szCs w:val="28"/>
          <w:highlight w:val="white"/>
        </w:rPr>
        <w:t xml:space="preserve">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20"/>
        <w:jc w:val="both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  <w:t xml:space="preserve">- перевод студентов</w:t>
      </w:r>
      <w:r>
        <w:rPr>
          <w:color w:val="auto"/>
          <w:sz w:val="28"/>
          <w:szCs w:val="28"/>
          <w:highlight w:val="white"/>
        </w:rPr>
        <w:t xml:space="preserve"> (с их согласия) на обучение по индивидуальной образовательной траектории с одновременным трудоустройством на вакантные рабочие места для работы на предприятиях (переведен</w:t>
      </w:r>
      <w:r>
        <w:rPr>
          <w:color w:val="auto"/>
          <w:sz w:val="28"/>
          <w:szCs w:val="28"/>
          <w:highlight w:val="white"/>
        </w:rPr>
        <w:t xml:space="preserve">о </w:t>
      </w:r>
      <w:r>
        <w:rPr>
          <w:color w:val="auto"/>
          <w:sz w:val="28"/>
          <w:szCs w:val="28"/>
          <w:highlight w:val="white"/>
        </w:rPr>
        <w:t xml:space="preserve">38</w:t>
      </w:r>
      <w:r>
        <w:rPr>
          <w:color w:val="auto"/>
          <w:sz w:val="28"/>
          <w:szCs w:val="28"/>
          <w:highlight w:val="white"/>
        </w:rPr>
        <w:t xml:space="preserve">4</w:t>
      </w:r>
      <w:r>
        <w:rPr>
          <w:color w:val="auto"/>
          <w:sz w:val="28"/>
          <w:szCs w:val="28"/>
          <w:highlight w:val="white"/>
        </w:rPr>
        <w:t xml:space="preserve"> студент</w:t>
      </w:r>
      <w:r>
        <w:rPr>
          <w:color w:val="auto"/>
          <w:sz w:val="28"/>
          <w:szCs w:val="28"/>
          <w:highlight w:val="white"/>
        </w:rPr>
        <w:t xml:space="preserve">а</w:t>
      </w:r>
      <w:r>
        <w:rPr>
          <w:color w:val="auto"/>
          <w:sz w:val="28"/>
          <w:szCs w:val="28"/>
          <w:highlight w:val="white"/>
        </w:rPr>
        <w:t xml:space="preserve">; трудоустро</w:t>
      </w:r>
      <w:r>
        <w:rPr>
          <w:color w:val="auto"/>
          <w:sz w:val="28"/>
          <w:szCs w:val="28"/>
          <w:highlight w:val="white"/>
        </w:rPr>
        <w:t xml:space="preserve">ились</w:t>
      </w:r>
      <w:r>
        <w:rPr>
          <w:color w:val="auto"/>
          <w:sz w:val="28"/>
          <w:szCs w:val="28"/>
          <w:highlight w:val="white"/>
        </w:rPr>
        <w:t xml:space="preserve"> на штатные рабочие места </w:t>
      </w:r>
      <w:r>
        <w:rPr>
          <w:color w:val="auto"/>
          <w:sz w:val="28"/>
          <w:szCs w:val="28"/>
          <w:highlight w:val="white"/>
        </w:rPr>
        <w:t xml:space="preserve">5</w:t>
      </w:r>
      <w:r>
        <w:rPr>
          <w:color w:val="auto"/>
          <w:sz w:val="28"/>
          <w:szCs w:val="28"/>
          <w:highlight w:val="white"/>
        </w:rPr>
        <w:t xml:space="preserve">79</w:t>
      </w:r>
      <w:r>
        <w:rPr>
          <w:color w:val="auto"/>
          <w:sz w:val="28"/>
          <w:szCs w:val="28"/>
          <w:highlight w:val="white"/>
        </w:rPr>
        <w:t xml:space="preserve"> студентов, в том числе </w:t>
      </w:r>
      <w:r>
        <w:rPr>
          <w:color w:val="auto"/>
          <w:sz w:val="28"/>
          <w:szCs w:val="28"/>
          <w:highlight w:val="white"/>
        </w:rPr>
        <w:t xml:space="preserve">405</w:t>
      </w:r>
      <w:r>
        <w:rPr>
          <w:color w:val="auto"/>
          <w:sz w:val="28"/>
          <w:szCs w:val="28"/>
          <w:highlight w:val="white"/>
        </w:rPr>
        <w:t xml:space="preserve"> </w:t>
      </w:r>
      <w:r>
        <w:rPr>
          <w:color w:val="auto"/>
          <w:sz w:val="28"/>
          <w:szCs w:val="28"/>
          <w:highlight w:val="white"/>
        </w:rPr>
        <w:t xml:space="preserve">с</w:t>
      </w:r>
      <w:r>
        <w:rPr>
          <w:color w:val="auto"/>
          <w:sz w:val="28"/>
          <w:szCs w:val="28"/>
          <w:highlight w:val="white"/>
        </w:rPr>
        <w:t xml:space="preserve">тудент</w:t>
      </w:r>
      <w:r>
        <w:rPr>
          <w:color w:val="auto"/>
          <w:sz w:val="28"/>
          <w:szCs w:val="28"/>
          <w:highlight w:val="white"/>
        </w:rPr>
        <w:t xml:space="preserve">ов</w:t>
      </w:r>
      <w:r>
        <w:rPr>
          <w:color w:val="auto"/>
          <w:sz w:val="28"/>
          <w:szCs w:val="28"/>
          <w:highlight w:val="white"/>
        </w:rPr>
        <w:t xml:space="preserve"> – в рамках прохождения производственной практики).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20"/>
        <w:jc w:val="both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  <w:t xml:space="preserve"> За 2023/2024 учебный год н</w:t>
      </w:r>
      <w:r>
        <w:rPr>
          <w:color w:val="auto"/>
          <w:sz w:val="28"/>
          <w:szCs w:val="28"/>
          <w:highlight w:val="white"/>
        </w:rPr>
        <w:t xml:space="preserve">а предприятия ОПК направлено на </w:t>
      </w:r>
      <w:r>
        <w:rPr>
          <w:color w:val="auto"/>
          <w:sz w:val="28"/>
          <w:szCs w:val="28"/>
          <w:highlight w:val="white"/>
        </w:rPr>
        <w:t xml:space="preserve">производственную практику </w:t>
      </w:r>
      <w:r>
        <w:rPr>
          <w:color w:val="auto"/>
          <w:sz w:val="28"/>
          <w:szCs w:val="28"/>
          <w:highlight w:val="white"/>
        </w:rPr>
        <w:t xml:space="preserve">1411</w:t>
      </w:r>
      <w:r>
        <w:rPr>
          <w:color w:val="auto"/>
          <w:sz w:val="28"/>
          <w:szCs w:val="28"/>
          <w:highlight w:val="white"/>
        </w:rPr>
        <w:t xml:space="preserve"> студентов профессиональных образовательных учреждений</w:t>
      </w:r>
      <w:r>
        <w:rPr>
          <w:sz w:val="28"/>
          <w:szCs w:val="28"/>
          <w:highlight w:val="white"/>
        </w:rPr>
        <w:t xml:space="preserve">, 1375  студентов ВУЗов</w:t>
      </w:r>
      <w:r>
        <w:rPr>
          <w:color w:val="auto"/>
          <w:sz w:val="28"/>
          <w:szCs w:val="28"/>
          <w:highlight w:val="white"/>
        </w:rPr>
        <w:t xml:space="preserve">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20"/>
        <w:jc w:val="both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  <w:t xml:space="preserve">На базе колледжей и предприятий в текущем учебном го</w:t>
      </w:r>
      <w:r>
        <w:rPr>
          <w:color w:val="auto"/>
          <w:sz w:val="28"/>
          <w:szCs w:val="28"/>
          <w:highlight w:val="white"/>
        </w:rPr>
        <w:t xml:space="preserve">ду проведена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201</w:t>
      </w:r>
      <w:r>
        <w:rPr>
          <w:color w:val="auto"/>
          <w:sz w:val="28"/>
          <w:szCs w:val="28"/>
          <w:highlight w:val="white"/>
        </w:rPr>
        <w:t xml:space="preserve"> встреч</w:t>
      </w:r>
      <w:r>
        <w:rPr>
          <w:color w:val="auto"/>
          <w:sz w:val="28"/>
          <w:szCs w:val="28"/>
          <w:highlight w:val="white"/>
        </w:rPr>
        <w:t xml:space="preserve">а</w:t>
      </w:r>
      <w:r>
        <w:rPr>
          <w:color w:val="auto"/>
          <w:sz w:val="28"/>
          <w:szCs w:val="28"/>
          <w:highlight w:val="white"/>
        </w:rPr>
        <w:t xml:space="preserve"> работодателей и студентов с охватом студенческой аудитории – </w:t>
      </w:r>
      <w:r>
        <w:rPr>
          <w:color w:val="auto"/>
          <w:sz w:val="28"/>
          <w:szCs w:val="28"/>
          <w:highlight w:val="white"/>
        </w:rPr>
        <w:t xml:space="preserve">6205</w:t>
      </w:r>
      <w:r>
        <w:rPr>
          <w:color w:val="auto"/>
          <w:sz w:val="28"/>
          <w:szCs w:val="28"/>
          <w:highlight w:val="white"/>
        </w:rPr>
        <w:t xml:space="preserve"> </w:t>
      </w:r>
      <w:r>
        <w:rPr>
          <w:color w:val="auto"/>
          <w:sz w:val="28"/>
          <w:szCs w:val="28"/>
          <w:highlight w:val="white"/>
        </w:rPr>
        <w:t xml:space="preserve">человек</w:t>
      </w:r>
      <w:r>
        <w:rPr>
          <w:color w:val="auto"/>
          <w:sz w:val="28"/>
          <w:szCs w:val="28"/>
          <w:highlight w:val="white"/>
        </w:rPr>
        <w:t xml:space="preserve">. По результатам встреч с работодателями на предприятия направлены </w:t>
      </w:r>
      <w:r>
        <w:rPr>
          <w:color w:val="auto"/>
          <w:sz w:val="28"/>
          <w:szCs w:val="28"/>
          <w:highlight w:val="white"/>
        </w:rPr>
        <w:t xml:space="preserve">3</w:t>
      </w:r>
      <w:r>
        <w:rPr>
          <w:color w:val="auto"/>
          <w:sz w:val="28"/>
          <w:szCs w:val="28"/>
          <w:highlight w:val="white"/>
        </w:rPr>
        <w:t xml:space="preserve">77</w:t>
      </w:r>
      <w:r>
        <w:rPr>
          <w:color w:val="auto"/>
          <w:sz w:val="28"/>
          <w:szCs w:val="28"/>
          <w:highlight w:val="white"/>
        </w:rPr>
        <w:t xml:space="preserve"> анкет</w:t>
      </w:r>
      <w:r>
        <w:rPr>
          <w:color w:val="auto"/>
          <w:sz w:val="28"/>
          <w:szCs w:val="28"/>
          <w:highlight w:val="white"/>
        </w:rPr>
        <w:t xml:space="preserve"> студентов для последующего трудоустройства, в колледжи поступило </w:t>
      </w:r>
      <w:r>
        <w:rPr>
          <w:color w:val="auto"/>
          <w:sz w:val="28"/>
          <w:szCs w:val="28"/>
          <w:highlight w:val="white"/>
        </w:rPr>
        <w:t xml:space="preserve">19</w:t>
      </w:r>
      <w:r>
        <w:rPr>
          <w:color w:val="auto"/>
          <w:sz w:val="28"/>
          <w:szCs w:val="28"/>
          <w:highlight w:val="white"/>
        </w:rPr>
        <w:t xml:space="preserve">5</w:t>
      </w:r>
      <w:r>
        <w:rPr>
          <w:color w:val="auto"/>
          <w:sz w:val="28"/>
          <w:szCs w:val="28"/>
          <w:highlight w:val="white"/>
        </w:rPr>
        <w:t xml:space="preserve"> предложени</w:t>
      </w:r>
      <w:r>
        <w:rPr>
          <w:color w:val="auto"/>
          <w:sz w:val="28"/>
          <w:szCs w:val="28"/>
          <w:highlight w:val="white"/>
        </w:rPr>
        <w:t xml:space="preserve">й</w:t>
      </w:r>
      <w:r>
        <w:rPr>
          <w:color w:val="auto"/>
          <w:sz w:val="28"/>
          <w:szCs w:val="28"/>
          <w:highlight w:val="white"/>
        </w:rPr>
        <w:t xml:space="preserve"> от работодателей о переводе </w:t>
      </w:r>
      <w:r>
        <w:rPr>
          <w:color w:val="auto"/>
          <w:sz w:val="28"/>
          <w:szCs w:val="28"/>
          <w:highlight w:val="white"/>
        </w:rPr>
        <w:t xml:space="preserve"> </w:t>
      </w:r>
      <w:r>
        <w:rPr>
          <w:color w:val="auto"/>
          <w:sz w:val="28"/>
          <w:szCs w:val="28"/>
          <w:highlight w:val="white"/>
        </w:rPr>
        <w:t xml:space="preserve">381</w:t>
      </w:r>
      <w:r>
        <w:rPr>
          <w:color w:val="auto"/>
          <w:sz w:val="28"/>
          <w:szCs w:val="28"/>
          <w:highlight w:val="white"/>
        </w:rPr>
        <w:t xml:space="preserve"> студент</w:t>
      </w:r>
      <w:r>
        <w:rPr>
          <w:color w:val="auto"/>
          <w:sz w:val="28"/>
          <w:szCs w:val="28"/>
          <w:highlight w:val="white"/>
        </w:rPr>
        <w:t xml:space="preserve">а на </w:t>
      </w:r>
      <w:r>
        <w:rPr>
          <w:color w:val="auto"/>
          <w:sz w:val="28"/>
          <w:szCs w:val="28"/>
          <w:highlight w:val="white"/>
        </w:rPr>
        <w:t xml:space="preserve">индивидуальный график обучения в связи с их трудоустройством на штатные рабочие места.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  <w:t xml:space="preserve">Координатором работы по подготовке кадров для отраслей экономики с 2022 года является Автономная некоммерческая организаци</w:t>
      </w:r>
      <w:r>
        <w:rPr>
          <w:color w:val="auto"/>
          <w:sz w:val="28"/>
          <w:szCs w:val="28"/>
          <w:highlight w:val="white"/>
        </w:rPr>
        <w:t xml:space="preserve">я «Центр опережающей профессиональной подготовки Новосибирской области», которой заключено </w:t>
      </w:r>
      <w:r>
        <w:rPr>
          <w:color w:val="auto"/>
          <w:sz w:val="28"/>
          <w:szCs w:val="28"/>
          <w:highlight w:val="white"/>
        </w:rPr>
        <w:t xml:space="preserve">1</w:t>
      </w:r>
      <w:r>
        <w:rPr>
          <w:color w:val="auto"/>
          <w:sz w:val="28"/>
          <w:szCs w:val="28"/>
          <w:highlight w:val="white"/>
        </w:rPr>
        <w:t xml:space="preserve">4</w:t>
      </w:r>
      <w:r>
        <w:rPr>
          <w:color w:val="auto"/>
          <w:sz w:val="28"/>
          <w:szCs w:val="28"/>
          <w:highlight w:val="white"/>
        </w:rPr>
        <w:t xml:space="preserve"> соглашений о взаимодействии с предприятиями ОПК. Заявки предприятий ОПК рассматриваются профессиональными образовательными учреждениями в первую очередь, направле</w:t>
      </w:r>
      <w:r>
        <w:rPr>
          <w:color w:val="auto"/>
          <w:sz w:val="28"/>
          <w:szCs w:val="28"/>
          <w:highlight w:val="white"/>
        </w:rPr>
        <w:t xml:space="preserve">ние студентов на предприятия осуществляется в соответствии с согласованными графиками прохождения производственной практики. За 2023/2024 учебный год (по состоянию на</w:t>
      </w:r>
      <w:r>
        <w:rPr>
          <w:color w:val="auto"/>
          <w:sz w:val="28"/>
          <w:szCs w:val="28"/>
          <w:highlight w:val="white"/>
        </w:rPr>
        <w:t xml:space="preserve"> </w:t>
      </w:r>
      <w:r>
        <w:rPr>
          <w:color w:val="auto"/>
          <w:sz w:val="28"/>
          <w:szCs w:val="28"/>
          <w:highlight w:val="white"/>
        </w:rPr>
        <w:t xml:space="preserve">19</w:t>
      </w:r>
      <w:r>
        <w:rPr>
          <w:color w:val="auto"/>
          <w:sz w:val="28"/>
          <w:szCs w:val="28"/>
          <w:highlight w:val="white"/>
        </w:rPr>
        <w:t xml:space="preserve">.04.2024) на 37 предприятий ОПК трудоустроил</w:t>
      </w:r>
      <w:r>
        <w:rPr>
          <w:color w:val="auto"/>
          <w:sz w:val="28"/>
          <w:szCs w:val="28"/>
          <w:highlight w:val="white"/>
        </w:rPr>
        <w:t xml:space="preserve">и</w:t>
      </w:r>
      <w:r>
        <w:rPr>
          <w:color w:val="auto"/>
          <w:sz w:val="28"/>
          <w:szCs w:val="28"/>
          <w:highlight w:val="white"/>
        </w:rPr>
        <w:t xml:space="preserve">сь </w:t>
      </w:r>
      <w:r>
        <w:rPr>
          <w:color w:val="auto"/>
          <w:sz w:val="28"/>
          <w:szCs w:val="28"/>
          <w:highlight w:val="white"/>
        </w:rPr>
        <w:t xml:space="preserve">59</w:t>
      </w:r>
      <w:r>
        <w:rPr>
          <w:color w:val="auto"/>
          <w:sz w:val="28"/>
          <w:szCs w:val="28"/>
          <w:highlight w:val="white"/>
        </w:rPr>
        <w:t xml:space="preserve">8</w:t>
      </w:r>
      <w:r>
        <w:rPr>
          <w:color w:val="auto"/>
          <w:sz w:val="28"/>
          <w:szCs w:val="28"/>
          <w:highlight w:val="white"/>
        </w:rPr>
        <w:t xml:space="preserve"> выпускников профессиональных образо</w:t>
      </w:r>
      <w:r>
        <w:rPr>
          <w:color w:val="auto"/>
          <w:sz w:val="28"/>
          <w:szCs w:val="28"/>
          <w:highlight w:val="white"/>
        </w:rPr>
        <w:t xml:space="preserve">вательных учреждений, в том числе </w:t>
      </w:r>
      <w:r>
        <w:rPr>
          <w:color w:val="auto"/>
          <w:sz w:val="28"/>
          <w:szCs w:val="28"/>
          <w:highlight w:val="white"/>
        </w:rPr>
        <w:t xml:space="preserve">3</w:t>
      </w:r>
      <w:r>
        <w:rPr>
          <w:color w:val="auto"/>
          <w:sz w:val="28"/>
          <w:szCs w:val="28"/>
          <w:highlight w:val="white"/>
        </w:rPr>
        <w:t xml:space="preserve">90</w:t>
      </w:r>
      <w:r>
        <w:rPr>
          <w:color w:val="auto"/>
          <w:sz w:val="28"/>
          <w:szCs w:val="28"/>
          <w:highlight w:val="white"/>
        </w:rPr>
        <w:t xml:space="preserve"> выпускников 2023 года и </w:t>
      </w:r>
      <w:r>
        <w:rPr>
          <w:color w:val="auto"/>
          <w:sz w:val="28"/>
          <w:szCs w:val="28"/>
          <w:highlight w:val="white"/>
        </w:rPr>
        <w:t xml:space="preserve">20</w:t>
      </w:r>
      <w:r>
        <w:rPr>
          <w:color w:val="auto"/>
          <w:sz w:val="28"/>
          <w:szCs w:val="28"/>
          <w:highlight w:val="white"/>
        </w:rPr>
        <w:t xml:space="preserve">8</w:t>
      </w:r>
      <w:r>
        <w:rPr>
          <w:color w:val="auto"/>
          <w:sz w:val="28"/>
          <w:szCs w:val="28"/>
          <w:highlight w:val="white"/>
        </w:rPr>
        <w:t xml:space="preserve"> выпускников </w:t>
      </w:r>
      <w:r>
        <w:rPr>
          <w:color w:val="auto"/>
          <w:sz w:val="28"/>
          <w:szCs w:val="28"/>
          <w:highlight w:val="white"/>
        </w:rPr>
        <w:t xml:space="preserve">2022 года.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В 2023 году на предприятия ОПК трудоустроено 375 выпускников ВУЗов (15% от общего количества выпускников), в том числе 47 – по договорам целевого обучения.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Кадровые вопросы предприятий ОПК рассматриваются на оперативном штабе по контролю за ходом реализации инвестиционных проектов предприятий ОПК, круглом столе «Наставничество: традиции и новые вызовы», заседании Ассоциации «Деловой клуб руководителей «Содруж</w:t>
      </w:r>
      <w:r>
        <w:rPr>
          <w:color w:val="auto"/>
          <w:sz w:val="28"/>
          <w:szCs w:val="28"/>
          <w:highlight w:val="white"/>
        </w:rPr>
        <w:t xml:space="preserve">ество. Эффективность. Развитие»</w:t>
      </w:r>
      <w:r>
        <w:rPr>
          <w:color w:val="auto"/>
          <w:sz w:val="28"/>
          <w:szCs w:val="28"/>
          <w:highlight w:val="white"/>
        </w:rPr>
        <w:t xml:space="preserve">. Проведены совещания по вопросу кадрового обеспечения филиала ПА</w:t>
      </w:r>
      <w:r>
        <w:rPr>
          <w:color w:val="auto"/>
          <w:sz w:val="28"/>
          <w:szCs w:val="28"/>
          <w:highlight w:val="white"/>
        </w:rPr>
        <w:t xml:space="preserve">О «Авиационная холдинговая компания «Сухой» «Новосибирский авиационный завод имени В.П. Чкалова», по вопросу создания и комплектования научно-производственных п</w:t>
      </w:r>
      <w:r>
        <w:rPr>
          <w:color w:val="auto"/>
          <w:sz w:val="28"/>
          <w:szCs w:val="28"/>
          <w:highlight w:val="white"/>
        </w:rPr>
        <w:t xml:space="preserve">одразделений Вооруженных Сил Российской Федерации. В рамках акции «Герои с нашего двора» на рекламных поверхностях города Новосибирска размещаются фотографии наставников и трудовых династий предприятий ОПК.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ВУЗах на постоянной основе действуют центры сод</w:t>
      </w:r>
      <w:r>
        <w:rPr>
          <w:color w:val="auto"/>
          <w:sz w:val="28"/>
          <w:szCs w:val="28"/>
          <w:highlight w:val="white"/>
        </w:rPr>
        <w:t xml:space="preserve">ействия трудоустройству выпускников и центры развития карьеры, которые </w:t>
      </w:r>
      <w:r>
        <w:rPr>
          <w:color w:val="auto"/>
          <w:sz w:val="28"/>
          <w:szCs w:val="28"/>
          <w:highlight w:val="white"/>
        </w:rPr>
        <w:t xml:space="preserve">обеспечивают взаимодействие студентов старших курсов и выпускников ВУЗов</w:t>
      </w:r>
      <w:r>
        <w:rPr>
          <w:color w:val="auto"/>
          <w:sz w:val="28"/>
          <w:szCs w:val="28"/>
          <w:highlight w:val="white"/>
        </w:rPr>
        <w:t xml:space="preserve">, с</w:t>
      </w:r>
      <w:r>
        <w:rPr>
          <w:color w:val="auto"/>
          <w:sz w:val="28"/>
          <w:szCs w:val="28"/>
          <w:highlight w:val="white"/>
        </w:rPr>
        <w:t xml:space="preserve"> потенциальными работодателями, ведется персонифицированный учет выпускников, находящихся под риском нетрудоу</w:t>
      </w:r>
      <w:r>
        <w:rPr>
          <w:color w:val="auto"/>
          <w:sz w:val="28"/>
          <w:szCs w:val="28"/>
          <w:highlight w:val="white"/>
        </w:rPr>
        <w:t xml:space="preserve">стройства.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Ожидаемый выпуск в 2024 году по инженерным специальностям, подходящим для трудоустройства на предприятия ОПК, составит 4729 человек. Планируют трудоустройство на предприятия ОПК 178 человек, в том числе 44 – по договорам целевого обучения.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  <w:t xml:space="preserve">Учит</w:t>
      </w:r>
      <w:r>
        <w:rPr>
          <w:color w:val="auto"/>
          <w:sz w:val="28"/>
          <w:szCs w:val="28"/>
          <w:highlight w:val="white"/>
        </w:rPr>
        <w:t xml:space="preserve">ывая изложенное, Комиссия решила: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fill="ffffff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highlight w:val="white"/>
        </w:rPr>
        <w:t xml:space="preserve">1. Информацию </w:t>
      </w:r>
      <w:r>
        <w:rPr>
          <w:color w:val="auto"/>
          <w:sz w:val="28"/>
          <w:highlight w:val="white"/>
        </w:rPr>
        <w:t xml:space="preserve">об обеспечении кадрами предприятий оборонной промышленности в Новосибирской области</w:t>
      </w:r>
      <w:r>
        <w:rPr>
          <w:color w:val="auto"/>
          <w:sz w:val="28"/>
          <w:highlight w:val="white"/>
        </w:rPr>
        <w:t xml:space="preserve"> принять к сведению.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fill="ffffff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  <w:t xml:space="preserve">2. Рекомендовать министерству труда и социального разв</w:t>
      </w:r>
      <w:r>
        <w:rPr>
          <w:color w:val="auto"/>
          <w:sz w:val="28"/>
          <w:szCs w:val="28"/>
          <w:highlight w:val="white"/>
        </w:rPr>
        <w:t xml:space="preserve">ития Новосибирской области совместно с министерством промышленности, торговли и развития предпринимательства Новосибирской области, министерством образования Новосибирской области с привлечением представителей объединений работодателей и профсоюзов продолж</w:t>
      </w:r>
      <w:r>
        <w:rPr>
          <w:color w:val="auto"/>
          <w:sz w:val="28"/>
          <w:szCs w:val="28"/>
          <w:highlight w:val="white"/>
        </w:rPr>
        <w:t xml:space="preserve">ить реализацию «дорожной карты» по комплектованию кадрами предприятий ОПК Новосибирской области.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20"/>
        <w:jc w:val="both"/>
        <w:shd w:val="clear" w:color="ffffff" w:fill="ffffff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highlight w:val="white"/>
        </w:rPr>
        <w:t xml:space="preserve">3. Рекомендовать министерству образования Новосибирской области совместно с профильными образовательными организациями среднего профессионального образования и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образовательными организациями высшего образования продолжить  работу по о</w:t>
      </w:r>
      <w:r>
        <w:rPr>
          <w:color w:val="auto"/>
          <w:sz w:val="28"/>
          <w:highlight w:val="white"/>
        </w:rPr>
        <w:t xml:space="preserve">рганизации подготовки кадров в целях оперативного обеспечения кадровой потребности предприятий ОПК Новосибирской области.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none"/>
        </w:rPr>
        <w:t xml:space="preserve">4. </w:t>
      </w:r>
      <w:r>
        <w:rPr>
          <w:color w:val="auto"/>
          <w:sz w:val="28"/>
          <w:szCs w:val="28"/>
          <w:highlight w:val="white"/>
        </w:rPr>
        <w:t xml:space="preserve">Рекомендовать предприятиям ОПК Новосибирской области со</w:t>
      </w:r>
      <w:r>
        <w:rPr>
          <w:color w:val="auto"/>
          <w:sz w:val="28"/>
          <w:szCs w:val="28"/>
          <w:highlight w:val="white"/>
        </w:rPr>
        <w:t xml:space="preserve">вместно с профсоюзными комитетами в целях обеспечения кадрами: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  <w:t xml:space="preserve">1) заключать договоры целевого обучения со студентами профессиональных образовательных учреждений и </w:t>
      </w:r>
      <w:r>
        <w:rPr>
          <w:color w:val="auto"/>
          <w:sz w:val="28"/>
          <w:highlight w:val="white"/>
        </w:rPr>
        <w:t xml:space="preserve">образовательных организаций высшего образования</w:t>
      </w:r>
      <w:r>
        <w:rPr>
          <w:color w:val="auto"/>
          <w:sz w:val="28"/>
          <w:szCs w:val="28"/>
          <w:highlight w:val="white"/>
        </w:rPr>
        <w:t xml:space="preserve">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  <w:t xml:space="preserve">2) инициировать перевод студентов, направлен</w:t>
      </w:r>
      <w:r>
        <w:rPr>
          <w:color w:val="auto"/>
          <w:sz w:val="28"/>
          <w:szCs w:val="28"/>
          <w:highlight w:val="white"/>
        </w:rPr>
        <w:t xml:space="preserve">ных на предприятие для прохождения производственной практики, на индивидуальный график обучения;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  <w:t xml:space="preserve">3) активизировать развитие наставничества на предприятии в отношении студентов и выпускников профессиональных образовательных организаций и </w:t>
      </w:r>
      <w:r>
        <w:rPr>
          <w:color w:val="auto"/>
          <w:sz w:val="28"/>
          <w:highlight w:val="white"/>
        </w:rPr>
        <w:t xml:space="preserve">образовательных орг</w:t>
      </w:r>
      <w:r>
        <w:rPr>
          <w:color w:val="auto"/>
          <w:sz w:val="28"/>
          <w:highlight w:val="white"/>
        </w:rPr>
        <w:t xml:space="preserve">анизаций высшего образования</w:t>
      </w:r>
      <w:r>
        <w:rPr>
          <w:color w:val="auto"/>
          <w:sz w:val="28"/>
          <w:szCs w:val="28"/>
          <w:highlight w:val="white"/>
        </w:rPr>
        <w:t xml:space="preserve">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  <w:t xml:space="preserve">4) рассмотреть возможность предоставления </w:t>
      </w:r>
      <w:r>
        <w:rPr>
          <w:color w:val="auto"/>
          <w:sz w:val="28"/>
          <w:szCs w:val="28"/>
          <w:highlight w:val="white"/>
        </w:rPr>
        <w:t xml:space="preserve">выпускникам профессиональных образовательных учреждений и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образовательных организаций высшего образования</w:t>
      </w:r>
      <w:r>
        <w:rPr>
          <w:color w:val="auto"/>
          <w:sz w:val="28"/>
          <w:szCs w:val="28"/>
          <w:highlight w:val="white"/>
        </w:rPr>
        <w:t xml:space="preserve">, трудоустроившимся на пре</w:t>
      </w:r>
      <w:r>
        <w:rPr>
          <w:color w:val="auto"/>
          <w:sz w:val="28"/>
          <w:szCs w:val="28"/>
          <w:highlight w:val="white"/>
        </w:rPr>
        <w:t xml:space="preserve">дприятие, мер </w:t>
      </w:r>
      <w:r>
        <w:rPr>
          <w:color w:val="auto"/>
          <w:sz w:val="28"/>
          <w:szCs w:val="28"/>
          <w:highlight w:val="white"/>
        </w:rPr>
        <w:t xml:space="preserve">социальной поддержки (возмещение (частичное возмещение) стоимости аренды жилья, питания, проезда на общественном транспорте и др.) в целях их закрепления на рабочем месте.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none"/>
        </w:rPr>
        <w:t xml:space="preserve">5</w:t>
      </w:r>
      <w:r>
        <w:rPr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212121"/>
          <w:sz w:val="28"/>
          <w:highlight w:val="white"/>
        </w:rPr>
        <w:t xml:space="preserve"> Рекомендовать министерству промышленности, торговли и развития предпринимательства Новосибирской области совместно с Новосибирской областной организацией Российского профсоюза работников промышленности рассмотреть информацию об изменении условий труда, </w:t>
      </w:r>
      <w:r>
        <w:rPr>
          <w:rFonts w:ascii="Times New Roman" w:hAnsi="Times New Roman" w:eastAsia="Times New Roman" w:cs="Times New Roman"/>
          <w:color w:val="212121"/>
          <w:sz w:val="28"/>
          <w:highlight w:val="white"/>
        </w:rPr>
        <w:t xml:space="preserve">в том числе о снижении заработной платы, на предприятиях Государственной корпорации «Ростех», расположенных на территории Новосибирской области, и, в случае необходимости, провести рабочее совещание.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926"/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</w:p>
    <w:p>
      <w:pPr>
        <w:pStyle w:val="926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>
        <w:tblPrEx/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jc w:val="both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Председателя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</w:t>
            </w:r>
            <w:r>
              <w:rPr>
                <w:sz w:val="28"/>
                <w:szCs w:val="28"/>
                <w:lang w:eastAsia="en-US"/>
              </w:rPr>
              <w:t xml:space="preserve">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928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right"/>
              <w:keepNext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Знатков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rPr>
        <w:rStyle w:val="929"/>
      </w:rPr>
      <w:framePr w:wrap="around" w:vAnchor="text" w:hAnchor="margin" w:xAlign="center" w:y="1"/>
    </w:pPr>
    <w:r>
      <w:rPr>
        <w:rStyle w:val="929"/>
      </w:rPr>
      <w:fldChar w:fldCharType="begin"/>
    </w:r>
    <w:r>
      <w:rPr>
        <w:rStyle w:val="929"/>
      </w:rPr>
      <w:instrText xml:space="preserve">PAGE  </w:instrText>
    </w:r>
    <w:r>
      <w:rPr>
        <w:rStyle w:val="929"/>
      </w:rPr>
      <w:fldChar w:fldCharType="separate"/>
    </w:r>
    <w:r>
      <w:rPr>
        <w:rStyle w:val="929"/>
      </w:rPr>
      <w:t xml:space="preserve">4</w:t>
    </w:r>
    <w:r>
      <w:rPr>
        <w:rStyle w:val="929"/>
      </w:rPr>
      <w:fldChar w:fldCharType="end"/>
    </w:r>
    <w:r>
      <w:rPr>
        <w:rStyle w:val="929"/>
      </w:rPr>
    </w:r>
    <w:r>
      <w:rPr>
        <w:rStyle w:val="929"/>
      </w:rPr>
    </w:r>
  </w:p>
  <w:p>
    <w:pPr>
      <w:pStyle w:val="7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rPr>
        <w:rStyle w:val="929"/>
      </w:rPr>
      <w:framePr w:wrap="around" w:vAnchor="text" w:hAnchor="margin" w:xAlign="center" w:y="1"/>
    </w:pPr>
    <w:r>
      <w:rPr>
        <w:rStyle w:val="929"/>
      </w:rPr>
      <w:fldChar w:fldCharType="begin"/>
    </w:r>
    <w:r>
      <w:rPr>
        <w:rStyle w:val="929"/>
      </w:rPr>
      <w:instrText xml:space="preserve">PAGE  </w:instrText>
    </w:r>
    <w:r>
      <w:rPr>
        <w:rStyle w:val="929"/>
      </w:rPr>
      <w:fldChar w:fldCharType="end"/>
    </w:r>
    <w:r>
      <w:rPr>
        <w:rStyle w:val="929"/>
      </w:rPr>
    </w:r>
    <w:r>
      <w:rPr>
        <w:rStyle w:val="929"/>
      </w:rPr>
    </w:r>
  </w:p>
  <w:p>
    <w:pPr>
      <w:pStyle w:val="7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40" w:hanging="1020"/>
        <w:tabs>
          <w:tab w:val="num" w:pos="17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6">
    <w:name w:val="Plain Table 1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0">
    <w:name w:val="List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4">
    <w:name w:val="List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5" w:default="1">
    <w:name w:val="Normal"/>
    <w:qFormat/>
    <w:rPr>
      <w:lang w:eastAsia="ru-RU"/>
    </w:rPr>
  </w:style>
  <w:style w:type="paragraph" w:styleId="726">
    <w:name w:val="Heading 1"/>
    <w:basedOn w:val="725"/>
    <w:next w:val="725"/>
    <w:link w:val="755"/>
    <w:qFormat/>
    <w:pPr>
      <w:jc w:val="both"/>
      <w:keepNext/>
      <w:outlineLvl w:val="0"/>
    </w:pPr>
    <w:rPr>
      <w:color w:val="000000"/>
      <w:sz w:val="28"/>
    </w:rPr>
  </w:style>
  <w:style w:type="paragraph" w:styleId="727">
    <w:name w:val="Heading 2"/>
    <w:basedOn w:val="725"/>
    <w:next w:val="725"/>
    <w:link w:val="756"/>
    <w:qFormat/>
    <w:pPr>
      <w:ind w:firstLine="851"/>
      <w:jc w:val="both"/>
      <w:keepNext/>
      <w:outlineLvl w:val="1"/>
    </w:pPr>
    <w:rPr>
      <w:color w:val="008000"/>
      <w:sz w:val="28"/>
    </w:rPr>
  </w:style>
  <w:style w:type="paragraph" w:styleId="728">
    <w:name w:val="Heading 3"/>
    <w:basedOn w:val="725"/>
    <w:next w:val="725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25"/>
    <w:next w:val="725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25"/>
    <w:next w:val="725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25"/>
    <w:next w:val="725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725"/>
    <w:next w:val="725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725"/>
    <w:next w:val="725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725"/>
    <w:next w:val="725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Heading 1 Char"/>
    <w:basedOn w:val="735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3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35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Heading 7 Char"/>
    <w:basedOn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Heading 8 Char"/>
    <w:basedOn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Heading 9 Char"/>
    <w:basedOn w:val="735"/>
    <w:uiPriority w:val="9"/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Title Char"/>
    <w:basedOn w:val="735"/>
    <w:uiPriority w:val="10"/>
    <w:rPr>
      <w:sz w:val="48"/>
      <w:szCs w:val="48"/>
    </w:rPr>
  </w:style>
  <w:style w:type="character" w:styleId="748" w:customStyle="1">
    <w:name w:val="Subtitle Char"/>
    <w:basedOn w:val="735"/>
    <w:uiPriority w:val="11"/>
    <w:rPr>
      <w:sz w:val="24"/>
      <w:szCs w:val="24"/>
    </w:rPr>
  </w:style>
  <w:style w:type="character" w:styleId="749" w:customStyle="1">
    <w:name w:val="Quote Char"/>
    <w:uiPriority w:val="29"/>
    <w:rPr>
      <w:i/>
    </w:rPr>
  </w:style>
  <w:style w:type="character" w:styleId="750" w:customStyle="1">
    <w:name w:val="Intense Quote Char"/>
    <w:uiPriority w:val="30"/>
    <w:rPr>
      <w:i/>
    </w:rPr>
  </w:style>
  <w:style w:type="character" w:styleId="751" w:customStyle="1">
    <w:name w:val="Header Char"/>
    <w:basedOn w:val="735"/>
    <w:uiPriority w:val="99"/>
  </w:style>
  <w:style w:type="character" w:styleId="752" w:customStyle="1">
    <w:name w:val="Caption Char"/>
    <w:uiPriority w:val="99"/>
  </w:style>
  <w:style w:type="character" w:styleId="753" w:customStyle="1">
    <w:name w:val="Footnote Text Char"/>
    <w:uiPriority w:val="99"/>
    <w:rPr>
      <w:sz w:val="18"/>
    </w:rPr>
  </w:style>
  <w:style w:type="character" w:styleId="754" w:customStyle="1">
    <w:name w:val="Endnote Text Char"/>
    <w:uiPriority w:val="99"/>
    <w:rPr>
      <w:sz w:val="20"/>
    </w:rPr>
  </w:style>
  <w:style w:type="character" w:styleId="755" w:customStyle="1">
    <w:name w:val="Заголовок 1 Знак"/>
    <w:link w:val="726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Заголовок 2 Знак"/>
    <w:link w:val="727"/>
    <w:uiPriority w:val="9"/>
    <w:rPr>
      <w:rFonts w:ascii="Arial" w:hAnsi="Arial" w:eastAsia="Arial" w:cs="Arial"/>
      <w:sz w:val="34"/>
    </w:rPr>
  </w:style>
  <w:style w:type="character" w:styleId="757" w:customStyle="1">
    <w:name w:val="Заголовок 3 Знак"/>
    <w:link w:val="728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Заголовок 5 Знак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725"/>
    <w:uiPriority w:val="34"/>
    <w:qFormat/>
    <w:pPr>
      <w:contextualSpacing/>
      <w:ind w:left="720"/>
    </w:pPr>
    <w:rPr>
      <w:sz w:val="28"/>
      <w:szCs w:val="28"/>
    </w:rPr>
  </w:style>
  <w:style w:type="paragraph" w:styleId="765">
    <w:name w:val="No Spacing"/>
    <w:uiPriority w:val="1"/>
    <w:qFormat/>
  </w:style>
  <w:style w:type="paragraph" w:styleId="766">
    <w:name w:val="Title"/>
    <w:basedOn w:val="725"/>
    <w:next w:val="725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Заголовок Знак"/>
    <w:link w:val="766"/>
    <w:uiPriority w:val="10"/>
    <w:rPr>
      <w:sz w:val="48"/>
      <w:szCs w:val="48"/>
    </w:rPr>
  </w:style>
  <w:style w:type="paragraph" w:styleId="768">
    <w:name w:val="Subtitle"/>
    <w:basedOn w:val="725"/>
    <w:next w:val="725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link w:val="768"/>
    <w:uiPriority w:val="11"/>
    <w:rPr>
      <w:sz w:val="24"/>
      <w:szCs w:val="24"/>
    </w:rPr>
  </w:style>
  <w:style w:type="paragraph" w:styleId="770">
    <w:name w:val="Quote"/>
    <w:basedOn w:val="725"/>
    <w:next w:val="725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25"/>
    <w:next w:val="725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paragraph" w:styleId="774">
    <w:name w:val="Header"/>
    <w:basedOn w:val="725"/>
    <w:link w:val="775"/>
    <w:pPr>
      <w:tabs>
        <w:tab w:val="center" w:pos="4677" w:leader="none"/>
        <w:tab w:val="right" w:pos="9355" w:leader="none"/>
      </w:tabs>
    </w:pPr>
  </w:style>
  <w:style w:type="character" w:styleId="775" w:customStyle="1">
    <w:name w:val="Верхний колонтитул Знак"/>
    <w:link w:val="774"/>
    <w:uiPriority w:val="99"/>
  </w:style>
  <w:style w:type="paragraph" w:styleId="776">
    <w:name w:val="Footer"/>
    <w:basedOn w:val="725"/>
    <w:link w:val="77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7" w:customStyle="1">
    <w:name w:val="Footer Char"/>
    <w:uiPriority w:val="99"/>
  </w:style>
  <w:style w:type="paragraph" w:styleId="778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 w:customStyle="1">
    <w:name w:val="Нижний колонтитул Знак"/>
    <w:link w:val="776"/>
    <w:uiPriority w:val="99"/>
  </w:style>
  <w:style w:type="table" w:styleId="78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5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2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0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8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725"/>
    <w:link w:val="908"/>
    <w:uiPriority w:val="99"/>
    <w:semiHidden/>
    <w:unhideWhenUsed/>
    <w:pPr>
      <w:spacing w:after="40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uiPriority w:val="99"/>
    <w:unhideWhenUsed/>
    <w:rPr>
      <w:vertAlign w:val="superscript"/>
    </w:rPr>
  </w:style>
  <w:style w:type="paragraph" w:styleId="910">
    <w:name w:val="endnote text"/>
    <w:basedOn w:val="725"/>
    <w:link w:val="911"/>
    <w:uiPriority w:val="99"/>
    <w:semiHidden/>
    <w:unhideWhenUsed/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725"/>
    <w:next w:val="725"/>
    <w:uiPriority w:val="39"/>
    <w:unhideWhenUsed/>
    <w:pPr>
      <w:spacing w:after="57"/>
    </w:pPr>
  </w:style>
  <w:style w:type="paragraph" w:styleId="914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915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916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917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918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19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20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21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725"/>
    <w:next w:val="725"/>
    <w:uiPriority w:val="99"/>
    <w:unhideWhenUsed/>
  </w:style>
  <w:style w:type="paragraph" w:styleId="924">
    <w:name w:val="Body Text 2"/>
    <w:basedOn w:val="725"/>
    <w:pPr>
      <w:jc w:val="center"/>
    </w:pPr>
    <w:rPr>
      <w:sz w:val="28"/>
    </w:rPr>
  </w:style>
  <w:style w:type="paragraph" w:styleId="925">
    <w:name w:val="Body Text Indent 3"/>
    <w:basedOn w:val="725"/>
    <w:pPr>
      <w:ind w:firstLine="720"/>
      <w:jc w:val="both"/>
    </w:pPr>
    <w:rPr>
      <w:sz w:val="26"/>
    </w:rPr>
  </w:style>
  <w:style w:type="paragraph" w:styleId="926">
    <w:name w:val="Body Text"/>
    <w:basedOn w:val="725"/>
    <w:pPr>
      <w:jc w:val="both"/>
    </w:pPr>
    <w:rPr>
      <w:sz w:val="28"/>
    </w:rPr>
  </w:style>
  <w:style w:type="paragraph" w:styleId="927">
    <w:name w:val="Body Text Indent"/>
    <w:basedOn w:val="725"/>
    <w:pPr>
      <w:ind w:firstLine="709"/>
      <w:jc w:val="both"/>
    </w:pPr>
    <w:rPr>
      <w:color w:val="000000"/>
      <w:sz w:val="26"/>
    </w:rPr>
  </w:style>
  <w:style w:type="paragraph" w:styleId="928" w:customStyle="1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929">
    <w:name w:val="page number"/>
    <w:basedOn w:val="735"/>
  </w:style>
  <w:style w:type="paragraph" w:styleId="930">
    <w:name w:val="Balloon Text"/>
    <w:basedOn w:val="725"/>
    <w:semiHidden/>
    <w:rPr>
      <w:rFonts w:ascii="Tahoma" w:hAnsi="Tahoma" w:cs="Tahoma"/>
      <w:sz w:val="16"/>
      <w:szCs w:val="16"/>
    </w:rPr>
  </w:style>
  <w:style w:type="paragraph" w:styleId="931">
    <w:name w:val="Body Text Indent 2"/>
    <w:basedOn w:val="725"/>
    <w:pPr>
      <w:ind w:firstLine="709"/>
      <w:jc w:val="both"/>
    </w:pPr>
    <w:rPr>
      <w:sz w:val="28"/>
    </w:rPr>
  </w:style>
  <w:style w:type="paragraph" w:styleId="932" w:customStyle="1">
    <w:name w:val="Знак"/>
    <w:basedOn w:val="725"/>
    <w:pPr>
      <w:ind w:left="26"/>
      <w:spacing w:after="160" w:line="240" w:lineRule="exact"/>
    </w:pPr>
    <w:rPr>
      <w:sz w:val="24"/>
      <w:szCs w:val="24"/>
      <w:lang w:val="en-US" w:eastAsia="en-US"/>
    </w:rPr>
  </w:style>
  <w:style w:type="character" w:styleId="933">
    <w:name w:val="Emphasis"/>
    <w:qFormat/>
    <w:rPr>
      <w:i/>
      <w:iCs/>
    </w:rPr>
  </w:style>
  <w:style w:type="paragraph" w:styleId="934" w:customStyle="1">
    <w:name w:val="Обычный + 14 пт"/>
    <w:basedOn w:val="725"/>
    <w:link w:val="935"/>
    <w:pPr>
      <w:ind w:firstLine="709"/>
      <w:jc w:val="both"/>
      <w:widowControl w:val="off"/>
    </w:pPr>
    <w:rPr>
      <w:sz w:val="28"/>
      <w:szCs w:val="28"/>
    </w:rPr>
  </w:style>
  <w:style w:type="character" w:styleId="935" w:customStyle="1">
    <w:name w:val="Обычный + 14 пт Знак"/>
    <w:link w:val="934"/>
    <w:rPr>
      <w:sz w:val="28"/>
      <w:szCs w:val="28"/>
    </w:rPr>
  </w:style>
  <w:style w:type="paragraph" w:styleId="936" w:customStyle="1">
    <w:name w:val="Основной текст с отступом.Мой Заголовок 1.Основной текст 1"/>
    <w:basedOn w:val="725"/>
    <w:pPr>
      <w:ind w:firstLine="708"/>
      <w:jc w:val="both"/>
    </w:pPr>
    <w:rPr>
      <w:sz w:val="32"/>
    </w:rPr>
  </w:style>
  <w:style w:type="paragraph" w:styleId="937" w:customStyle="1">
    <w:name w:val="Char Знак Знак"/>
    <w:basedOn w:val="725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938" w:customStyle="1">
    <w:name w:val="consplustitle"/>
    <w:basedOn w:val="725"/>
    <w:rPr>
      <w:rFonts w:ascii="Arial" w:hAnsi="Arial" w:eastAsia="Arial Unicode MS" w:cs="Arial"/>
      <w:b/>
      <w:bCs/>
    </w:rPr>
  </w:style>
  <w:style w:type="paragraph" w:styleId="939" w:customStyle="1">
    <w:name w:val="Текст1"/>
    <w:basedOn w:val="725"/>
    <w:rPr>
      <w:rFonts w:ascii="Calibri" w:hAnsi="Calibri" w:eastAsia="Calibri"/>
      <w:sz w:val="22"/>
      <w:szCs w:val="21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11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revision>49</cp:revision>
  <dcterms:created xsi:type="dcterms:W3CDTF">2023-10-09T08:23:00Z</dcterms:created>
  <dcterms:modified xsi:type="dcterms:W3CDTF">2024-04-26T07:36:13Z</dcterms:modified>
  <cp:version>917504</cp:version>
</cp:coreProperties>
</file>