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3322"/>
        <w:gridCol w:w="328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24.04.2024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pStyle w:val="874"/>
              <w:jc w:val="right"/>
              <w:rPr>
                <w:b/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  <w:lang w:val="ru-RU"/>
              </w:rPr>
              <w:t xml:space="preserve"> 2/1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5"/>
        <w:rPr>
          <w:color w:val="000000"/>
          <w:lang w:val="ru-RU"/>
        </w:rPr>
      </w:pPr>
      <w:r>
        <w:rPr>
          <w:color w:val="000000"/>
        </w:rPr>
        <w:t xml:space="preserve">О регулировании социально-трудовых отношений </w:t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685"/>
        <w:rPr>
          <w:szCs w:val="28"/>
          <w:lang w:val="ru-RU"/>
        </w:rPr>
      </w:pPr>
      <w:r>
        <w:rPr>
          <w:color w:val="000000"/>
        </w:rPr>
        <w:t xml:space="preserve">на</w:t>
      </w:r>
      <w:r>
        <w:rPr>
          <w:color w:val="000000"/>
        </w:rPr>
        <w:t xml:space="preserve"> территории </w:t>
      </w:r>
      <w:r>
        <w:rPr>
          <w:color w:val="000000"/>
          <w:lang w:val="ru-RU"/>
        </w:rPr>
        <w:t xml:space="preserve">города Новосибирска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Новосибирская областная трехсторонняя комиссия по регулированию социально-трудовых отношений (далее – Комиссия) отмечает, что </w:t>
      </w:r>
      <w:r>
        <w:rPr>
          <w:color w:val="000000"/>
          <w:sz w:val="28"/>
        </w:rPr>
        <w:t xml:space="preserve">на территории города Новосибирска проводится работа по регулированию социально-трудовых отношений через систему социального партнерства, которая включает территориальное соглашение, 6 территориальных отраслевых соглашений и 1297 к</w:t>
      </w:r>
      <w:bookmarkStart w:id="0" w:name="_GoBack"/>
      <w:r/>
      <w:bookmarkEnd w:id="0"/>
      <w:r>
        <w:rPr>
          <w:color w:val="000000"/>
          <w:sz w:val="28"/>
        </w:rPr>
        <w:t xml:space="preserve">оллективных договоров.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Тер</w:t>
      </w:r>
      <w:r>
        <w:rPr>
          <w:color w:val="000000"/>
          <w:sz w:val="28"/>
        </w:rPr>
        <w:t xml:space="preserve">риториальное соглашение между </w:t>
      </w:r>
      <w:r>
        <w:rPr>
          <w:sz w:val="28"/>
          <w:szCs w:val="28"/>
        </w:rPr>
        <w:t xml:space="preserve">Новосибирским областным союзом организаций профсоюзов «Федерация профсоюзов Новосибирской области», Новосибирским региональным союзом объединением работодателей «Союз руководителей предприятий и работодателей» и мэрией города </w:t>
      </w:r>
      <w:r>
        <w:rPr>
          <w:sz w:val="28"/>
          <w:szCs w:val="28"/>
        </w:rPr>
        <w:t xml:space="preserve">Новосибирска на 2024–2026 годы</w:t>
      </w:r>
      <w:r>
        <w:rPr>
          <w:sz w:val="28"/>
        </w:rPr>
        <w:t xml:space="preserve"> распространяется на 879 организаций с численностью работающих 192,8 тыс. человек (49,6% от численности работающих в крупных и средних организациях).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Территориальные отраслевые соглашения заключены в сфере образования, ЖКХ, т</w:t>
      </w:r>
      <w:r>
        <w:rPr>
          <w:color w:val="000000"/>
          <w:sz w:val="28"/>
        </w:rPr>
        <w:t xml:space="preserve">ранспорта, физической культуры и спорта, социального обслуживания и культур</w:t>
      </w:r>
      <w:r>
        <w:rPr>
          <w:color w:val="000000"/>
          <w:sz w:val="28"/>
          <w:highlight w:val="white"/>
        </w:rPr>
        <w:t xml:space="preserve">ы</w:t>
      </w:r>
      <w:r>
        <w:rPr>
          <w:color w:val="000000"/>
          <w:sz w:val="28"/>
          <w:highlight w:val="white"/>
        </w:rPr>
        <w:t xml:space="preserve">.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Сторону профсоюзов в территориальных отраслевых соглашениях представляют членские организации Федерации профсоюзов Новосибирской области, сторону работодателей – органы местного </w:t>
      </w:r>
      <w:r>
        <w:rPr>
          <w:sz w:val="28"/>
          <w:szCs w:val="28"/>
        </w:rPr>
        <w:t xml:space="preserve">самоуправления города Новосибирска, так как действие соглашений распространяется на муниципальные организации, подведомственные мэрии города Новосибирска.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09"/>
        <w:jc w:val="both"/>
        <w:rPr>
          <w:spacing w:val="-5"/>
          <w:sz w:val="28"/>
          <w:szCs w:val="28"/>
        </w:rPr>
      </w:pPr>
      <w:r>
        <w:rPr>
          <w:color w:val="000000"/>
          <w:sz w:val="28"/>
        </w:rPr>
        <w:t xml:space="preserve">Количество</w:t>
      </w:r>
      <w:r>
        <w:rPr>
          <w:szCs w:val="28"/>
        </w:rPr>
        <w:t xml:space="preserve"> К</w:t>
      </w:r>
      <w:r>
        <w:rPr>
          <w:spacing w:val="-5"/>
          <w:sz w:val="28"/>
          <w:szCs w:val="28"/>
        </w:rPr>
        <w:t xml:space="preserve">оллективных договоров, прошедших уведомительную регистрацию в мэрии города Новосибирска, </w:t>
      </w:r>
      <w:r>
        <w:rPr>
          <w:spacing w:val="-5"/>
          <w:sz w:val="28"/>
          <w:szCs w:val="28"/>
        </w:rPr>
        <w:t xml:space="preserve">на 1 января 2024 года составило 1297. Охват коллективными договорами – 73,2% от среднесписочной численности работников крупных и средних организаций города. В 2023 году перерегистрацию прошли 294 коллективных договора, зарегистрировано 319 изменений и допо</w:t>
      </w:r>
      <w:r>
        <w:rPr>
          <w:spacing w:val="-5"/>
          <w:sz w:val="28"/>
          <w:szCs w:val="28"/>
        </w:rPr>
        <w:t xml:space="preserve">лнений, впервые коллективные договоры заключили 15 организаций. Муниципальный сектор экономики охвачен коллективно-договорным регулированием практически полностью (99% от числа муниципальных учреждений), что является результатом проведения постоянной разъя</w:t>
      </w:r>
      <w:r>
        <w:rPr>
          <w:spacing w:val="-5"/>
          <w:sz w:val="28"/>
          <w:szCs w:val="28"/>
        </w:rPr>
        <w:t xml:space="preserve">снительной работы с учредителями и руководителями подведомственных организаций. В организации частного сектора экономики направлено 372 предложения о заключении или перезаключении коллективных договоров. Несмотря на проводимую работу, в реестре коллективны</w:t>
      </w:r>
      <w:r>
        <w:rPr>
          <w:spacing w:val="-5"/>
          <w:sz w:val="28"/>
          <w:szCs w:val="28"/>
        </w:rPr>
        <w:t xml:space="preserve">х договоров города Новосибирска остаются 276 коллективных договоров с истекшим сроком действия.</w:t>
      </w:r>
      <w:r>
        <w:rPr>
          <w:spacing w:val="-5"/>
          <w:sz w:val="28"/>
          <w:szCs w:val="28"/>
        </w:rPr>
      </w:r>
      <w:r>
        <w:rPr>
          <w:spacing w:val="-5"/>
          <w:sz w:val="28"/>
          <w:szCs w:val="28"/>
        </w:rPr>
      </w:r>
    </w:p>
    <w:p>
      <w:pPr>
        <w:ind w:firstLine="709"/>
        <w:jc w:val="both"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Координацию деятельности по социальному партнерству осуществляет Новосибирская городская трехсторонняя комиссия по регулированию социально-трудовых отношений (</w:t>
      </w:r>
      <w:r>
        <w:rPr>
          <w:sz w:val="28"/>
          <w:szCs w:val="28"/>
        </w:rPr>
        <w:t xml:space="preserve">далее – городская комиссия).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На заседаниях городской комиссии в 2023 году рассматривались социально-значимые вопросы:</w:t>
      </w:r>
      <w:r>
        <w:rPr>
          <w:spacing w:val="-5"/>
          <w:sz w:val="28"/>
          <w:szCs w:val="28"/>
        </w:rPr>
        <w:t xml:space="preserve"> о соблюдении работодателями, осуществляющими свою деятельность на территории города Новосибирска, трудового законодательства в части опла</w:t>
      </w:r>
      <w:r>
        <w:rPr>
          <w:spacing w:val="-5"/>
          <w:sz w:val="28"/>
          <w:szCs w:val="28"/>
        </w:rPr>
        <w:t xml:space="preserve">ты труда и индексации заработной платы; о системе социального партнерства в учреждениях, подведомственных департаменту по социальной политике мэрии города Новосибирска; о выполнении Территориального соглашения; о ситуации на рынке труда в городе Новосибирс</w:t>
      </w:r>
      <w:r>
        <w:rPr>
          <w:spacing w:val="-5"/>
          <w:sz w:val="28"/>
          <w:szCs w:val="28"/>
        </w:rPr>
        <w:t xml:space="preserve">ке; об организации обучения специалистов по охране труда вопросам профилактики социально-значимых заболеваний (ВИЧ); о практике социально-трудовых отношений на примере организации; о выполнении территориального отраслевого соглашения между департаментом ку</w:t>
      </w:r>
      <w:r>
        <w:rPr>
          <w:spacing w:val="-5"/>
          <w:sz w:val="28"/>
          <w:szCs w:val="28"/>
        </w:rPr>
        <w:t xml:space="preserve">льтуры, спорта и молодежной политики мэрии города Новосибирска и Новосибирской областной организацией Общероссийского профессионального союза работников культуры; о патриотическом воспитании подрастающего поколения в образовательных учреждениях  города Нов</w:t>
      </w:r>
      <w:r>
        <w:rPr>
          <w:spacing w:val="-5"/>
          <w:sz w:val="28"/>
          <w:szCs w:val="28"/>
        </w:rPr>
        <w:t xml:space="preserve">осибирска. </w:t>
      </w:r>
      <w:r>
        <w:rPr>
          <w:spacing w:val="-5"/>
          <w:sz w:val="28"/>
          <w:szCs w:val="28"/>
        </w:rPr>
      </w:r>
      <w:r>
        <w:rPr>
          <w:spacing w:val="-5"/>
          <w:sz w:val="28"/>
          <w:szCs w:val="28"/>
        </w:rPr>
      </w:r>
    </w:p>
    <w:p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 целях обеспечения открытости и доступности информации о развитии социального партнерства на официальном сайте города Новосибирска создан и поддерживается в актуальном состоянии раздел, включающий документы нормативно-правового характера, мето</w:t>
      </w:r>
      <w:r>
        <w:rPr>
          <w:spacing w:val="-5"/>
          <w:sz w:val="28"/>
          <w:szCs w:val="28"/>
        </w:rPr>
        <w:t xml:space="preserve">дические и информационные материалы, в том числе о работе городской комиссии и выполнении территориального соглашения.</w:t>
      </w:r>
      <w:r>
        <w:rPr>
          <w:spacing w:val="-5"/>
          <w:sz w:val="28"/>
          <w:szCs w:val="28"/>
        </w:rPr>
      </w:r>
      <w:r>
        <w:rPr>
          <w:spacing w:val="-5"/>
          <w:sz w:val="28"/>
          <w:szCs w:val="28"/>
        </w:rPr>
      </w:r>
    </w:p>
    <w:p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 рамках контроля за выполнением коллективных договоров за 2023 год информацию о выполнении взятых на себя обязательств представили 23 ор</w:t>
      </w:r>
      <w:r>
        <w:rPr>
          <w:spacing w:val="-5"/>
          <w:sz w:val="28"/>
          <w:szCs w:val="28"/>
        </w:rPr>
        <w:t xml:space="preserve">ганизации.  </w:t>
      </w:r>
      <w:r>
        <w:rPr>
          <w:spacing w:val="-5"/>
          <w:sz w:val="28"/>
          <w:szCs w:val="28"/>
        </w:rPr>
      </w:r>
      <w:r>
        <w:rPr>
          <w:spacing w:val="-5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Мэрией города Новосибирска приняты необходимые нормативные правовые акты по вопросам условий оплаты труда работников муниципальных учреждений. В целях наиболее полного учета отраслевых факторов сложности труда и отраслевых особенностей условий</w:t>
      </w:r>
      <w:r>
        <w:rPr>
          <w:sz w:val="28"/>
          <w:szCs w:val="28"/>
        </w:rPr>
        <w:t xml:space="preserve"> труда при оплате труда работников, системы оплаты труда работников учреждений установлены по отраслям (ведомствам) соответствующими постановлениями мэрии города Новосибирска.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соответствии со статьей 134 Трудового кодекса Российской Федерации постановлен</w:t>
      </w:r>
      <w:r>
        <w:rPr>
          <w:sz w:val="28"/>
          <w:szCs w:val="28"/>
        </w:rPr>
        <w:t xml:space="preserve">иями мэрии города Новосибирска в 2023 году дважды была проиндексирована заработная плата работников муниципальных учреждений, </w:t>
      </w:r>
      <w:r>
        <w:rPr>
          <w:bCs/>
          <w:color w:val="000000"/>
          <w:sz w:val="28"/>
          <w:szCs w:val="28"/>
        </w:rPr>
        <w:t xml:space="preserve">не относящихся к категориям, определенным указами Президента Российской Федерации</w:t>
      </w:r>
      <w:r>
        <w:rPr>
          <w:sz w:val="28"/>
          <w:szCs w:val="28"/>
        </w:rPr>
        <w:t xml:space="preserve">: с 1 августа 2023 года – на 9,7% и </w:t>
      </w:r>
      <w:r>
        <w:rPr>
          <w:bCs/>
          <w:color w:val="000000"/>
          <w:sz w:val="28"/>
          <w:szCs w:val="28"/>
        </w:rPr>
        <w:t xml:space="preserve">с 1 октября 2023 года – на 7,5%.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города Новосибирска увеличилась в 2023 году по сравнению с 2022 годом на 17,5% и составила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7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8,8 тыс.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</w:t>
      </w:r>
      <w:r>
        <w:rPr>
          <w:rFonts w:ascii="Times New Roman CYR" w:hAnsi="Times New Roman CYR" w:cs="Times New Roman CYR"/>
          <w:sz w:val="28"/>
          <w:szCs w:val="28"/>
        </w:rPr>
        <w:t xml:space="preserve">ублей.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ind w:firstLine="720"/>
        <w:jc w:val="both"/>
        <w:widowControl w:val="off"/>
        <w:rPr>
          <w:spacing w:val="-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Осуществляется </w:t>
      </w:r>
      <w:r>
        <w:rPr>
          <w:spacing w:val="-5"/>
          <w:sz w:val="28"/>
          <w:szCs w:val="28"/>
        </w:rPr>
        <w:t xml:space="preserve">р</w:t>
      </w:r>
      <w:r>
        <w:rPr>
          <w:rFonts w:eastAsia="Calibri"/>
          <w:sz w:val="28"/>
          <w:szCs w:val="28"/>
          <w:lang w:eastAsia="en-US"/>
        </w:rPr>
        <w:t xml:space="preserve">еализа</w:t>
      </w:r>
      <w:r>
        <w:rPr>
          <w:rFonts w:eastAsia="Calibri"/>
          <w:sz w:val="28"/>
          <w:szCs w:val="28"/>
          <w:lang w:eastAsia="en-US"/>
        </w:rPr>
        <w:t xml:space="preserve">ция основных направлений государственной политики в области охраны труда</w:t>
      </w:r>
      <w:r>
        <w:rPr>
          <w:sz w:val="28"/>
          <w:szCs w:val="28"/>
        </w:rPr>
        <w:t xml:space="preserve">.</w:t>
      </w:r>
      <w:r>
        <w:rPr>
          <w:spacing w:val="-5"/>
          <w:sz w:val="28"/>
          <w:szCs w:val="28"/>
        </w:rPr>
        <w:t xml:space="preserve"> Обеспечены и</w:t>
      </w:r>
      <w:r>
        <w:rPr>
          <w:sz w:val="28"/>
          <w:szCs w:val="28"/>
        </w:rPr>
        <w:t xml:space="preserve">нформационная работа с организациями города Новосибирска по вопросам охраны труда, проведение семинаров, конкурсов. Работникам и работодателям оказывалась консультационно</w:t>
      </w:r>
      <w:r>
        <w:rPr>
          <w:sz w:val="28"/>
          <w:szCs w:val="28"/>
        </w:rPr>
        <w:t xml:space="preserve">-методическая помощь. </w:t>
      </w:r>
      <w:r>
        <w:rPr>
          <w:spacing w:val="-5"/>
          <w:sz w:val="28"/>
          <w:szCs w:val="28"/>
          <w:shd w:val="clear" w:color="auto" w:fill="ffffff"/>
        </w:rPr>
        <w:t xml:space="preserve">Специальная оценка условий труда проводится во всех подведомственных мэрии города Новосибирска учреждениях, удельный вес рабочих мест, на которых она завершена, составил 99,8%. В 2023 году </w:t>
      </w:r>
      <w:r>
        <w:rPr>
          <w:spacing w:val="-5"/>
          <w:sz w:val="28"/>
          <w:szCs w:val="28"/>
          <w:shd w:val="clear" w:color="auto" w:fill="ffffff"/>
        </w:rPr>
        <w:t xml:space="preserve">специальная оценка условий труда проведена на</w:t>
      </w:r>
      <w:r>
        <w:rPr>
          <w:spacing w:val="-5"/>
          <w:sz w:val="28"/>
          <w:szCs w:val="28"/>
          <w:shd w:val="clear" w:color="auto" w:fill="ffffff"/>
        </w:rPr>
        <w:t xml:space="preserve"> 5539 рабочих местах, израсходовано на эти цели 4242,1 тыс. рублей. На 2024 год запланировано проведение специальной оценки условий труда в 81 организации на сумму 2974,2 тыс. рублей. </w:t>
      </w:r>
      <w:r>
        <w:rPr>
          <w:spacing w:val="-5"/>
          <w:sz w:val="28"/>
          <w:szCs w:val="28"/>
          <w:shd w:val="clear" w:color="auto" w:fill="ffffff"/>
        </w:rPr>
      </w:r>
      <w:r>
        <w:rPr>
          <w:spacing w:val="-5"/>
          <w:sz w:val="28"/>
          <w:szCs w:val="28"/>
          <w:shd w:val="clear" w:color="auto" w:fill="ffffff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дальнейшего совершенствования и развития системы социального па</w:t>
      </w:r>
      <w:r>
        <w:rPr>
          <w:sz w:val="28"/>
          <w:szCs w:val="28"/>
        </w:rPr>
        <w:t xml:space="preserve">ртнерства города Новосибирска Комиссия 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  <w:tab w:val="left" w:pos="9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Рекомендовать сторонам социального партнерства города Новосибирска: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99" w:firstLine="709"/>
        <w:jc w:val="both"/>
        <w:tabs>
          <w:tab w:val="left" w:pos="9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 активизировать работу по увеличению количества участников территориального соглашения и </w:t>
      </w:r>
      <w:r>
        <w:rPr>
          <w:spacing w:val="-5"/>
          <w:sz w:val="28"/>
          <w:szCs w:val="28"/>
        </w:rPr>
        <w:t xml:space="preserve">заключению коллективных договоров в организация</w:t>
      </w:r>
      <w:r>
        <w:rPr>
          <w:spacing w:val="-5"/>
          <w:sz w:val="28"/>
          <w:szCs w:val="28"/>
        </w:rPr>
        <w:t xml:space="preserve">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2) рассматривать на заседаниях городской комиссии вопросы соблюдения законодательства об охране труда, улучшения условий и охраны труда в организациях города Новосибирска;</w:t>
      </w:r>
      <w:r>
        <w:rPr>
          <w:spacing w:val="-5"/>
          <w:sz w:val="28"/>
          <w:szCs w:val="28"/>
        </w:rPr>
      </w:r>
      <w:r>
        <w:rPr>
          <w:spacing w:val="-5"/>
          <w:sz w:val="28"/>
          <w:szCs w:val="28"/>
        </w:rPr>
      </w:r>
    </w:p>
    <w:p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3) принимать за основу комплекс процессных мероприятий «Улучшение условий и охран</w:t>
      </w:r>
      <w:r>
        <w:rPr>
          <w:spacing w:val="-5"/>
          <w:sz w:val="28"/>
          <w:szCs w:val="28"/>
        </w:rPr>
        <w:t xml:space="preserve">ы труда» государственной программы Новосибирской области «Содействие занятости населения» при разработке, планировании мероприятий по улучшению условий и охраны труда и подготовке отчетов об их реализации;</w:t>
      </w:r>
      <w:r>
        <w:rPr>
          <w:spacing w:val="-5"/>
          <w:sz w:val="28"/>
          <w:szCs w:val="28"/>
        </w:rPr>
      </w:r>
      <w:r>
        <w:rPr>
          <w:spacing w:val="-5"/>
          <w:sz w:val="28"/>
          <w:szCs w:val="28"/>
        </w:rPr>
      </w:r>
    </w:p>
    <w:p>
      <w:pPr>
        <w:pStyle w:val="891"/>
        <w:ind w:left="0"/>
        <w:spacing w:after="0" w:afterAutospacing="0"/>
        <w:tabs>
          <w:tab w:val="left" w:pos="1134" w:leader="none"/>
        </w:tabs>
        <w:rPr>
          <w:rFonts w:ascii="Times New Roman" w:hAnsi="Times New Roman" w:eastAsia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pacing w:val="-5"/>
          <w:sz w:val="28"/>
          <w:szCs w:val="28"/>
          <w:lang w:eastAsia="ru-RU"/>
        </w:rPr>
        <w:t xml:space="preserve">4) продолжать исполнение плана мероприятий (дорожн</w:t>
      </w:r>
      <w:r>
        <w:rPr>
          <w:rFonts w:ascii="Times New Roman" w:hAnsi="Times New Roman" w:eastAsia="Times New Roman"/>
          <w:spacing w:val="-5"/>
          <w:sz w:val="28"/>
          <w:szCs w:val="28"/>
          <w:lang w:eastAsia="ru-RU"/>
        </w:rPr>
        <w:t xml:space="preserve">ой карты) развития системы социального партнерства на муниципальном уровне на 2023-2025 годы;</w:t>
      </w:r>
      <w:r>
        <w:rPr>
          <w:rFonts w:ascii="Times New Roman" w:hAnsi="Times New Roman" w:eastAsia="Times New Roman"/>
          <w:spacing w:val="-5"/>
          <w:sz w:val="28"/>
          <w:szCs w:val="28"/>
          <w:lang w:eastAsia="ru-RU"/>
        </w:rPr>
      </w:r>
      <w:r>
        <w:rPr>
          <w:rFonts w:ascii="Times New Roman" w:hAnsi="Times New Roman" w:eastAsia="Times New Roman"/>
          <w:spacing w:val="-5"/>
          <w:sz w:val="28"/>
          <w:szCs w:val="28"/>
          <w:lang w:eastAsia="ru-RU"/>
        </w:rPr>
      </w:r>
    </w:p>
    <w:p>
      <w:pPr>
        <w:pStyle w:val="891"/>
        <w:ind w:left="0"/>
        <w:spacing w:after="0" w:afterAutospacing="0"/>
        <w:tabs>
          <w:tab w:val="left" w:pos="1134" w:leader="none"/>
        </w:tabs>
        <w:rPr>
          <w:rFonts w:ascii="Times New Roman" w:hAnsi="Times New Roman" w:eastAsia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pacing w:val="-5"/>
          <w:sz w:val="28"/>
          <w:szCs w:val="28"/>
          <w:lang w:eastAsia="ru-RU"/>
        </w:rPr>
        <w:t xml:space="preserve">5) усилить осуществление контроля за выполнением территориального соглашения, территориальных отраслевых соглашений и коллективных договоров.</w:t>
      </w:r>
      <w:r>
        <w:rPr>
          <w:rFonts w:ascii="Times New Roman" w:hAnsi="Times New Roman" w:eastAsia="Times New Roman"/>
          <w:spacing w:val="-5"/>
          <w:sz w:val="28"/>
          <w:szCs w:val="28"/>
          <w:lang w:eastAsia="ru-RU"/>
        </w:rPr>
      </w:r>
      <w:r>
        <w:rPr>
          <w:rFonts w:ascii="Times New Roman" w:hAnsi="Times New Roman" w:eastAsia="Times New Roman"/>
          <w:spacing w:val="-5"/>
          <w:sz w:val="28"/>
          <w:szCs w:val="28"/>
          <w:lang w:eastAsia="ru-RU"/>
        </w:rPr>
      </w:r>
    </w:p>
    <w:p>
      <w:pPr>
        <w:ind w:right="99" w:firstLine="709"/>
        <w:jc w:val="both"/>
        <w:tabs>
          <w:tab w:val="left" w:pos="9720" w:leader="none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2. Рекомендовать членским организациям Новосибирского областного союза организаций</w:t>
      </w:r>
      <w:r>
        <w:rPr>
          <w:sz w:val="28"/>
          <w:szCs w:val="28"/>
        </w:rPr>
        <w:t xml:space="preserve"> профсоюзов «Федерация профсоюзов Новосибирской области» оказывать содействие по созданию первичных профсоюзных организаций города Новосибирска и заключению коллективных дого</w:t>
      </w:r>
      <w:r>
        <w:rPr>
          <w:sz w:val="28"/>
          <w:szCs w:val="28"/>
        </w:rPr>
        <w:t xml:space="preserve">воров в организациях, где они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 Рекомендовать мэрии города Новосибирска: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8"/>
        <w:jc w:val="both"/>
        <w:rPr>
          <w:rFonts w:eastAsia="SimSun" w:cs="Lucida Sans"/>
          <w:sz w:val="28"/>
          <w:szCs w:val="28"/>
          <w:lang w:eastAsia="hi-IN" w:bidi="hi-IN"/>
        </w:rPr>
      </w:pPr>
      <w:r>
        <w:rPr>
          <w:rFonts w:eastAsia="SimSun" w:cs="Lucida Sans"/>
          <w:sz w:val="28"/>
          <w:szCs w:val="28"/>
          <w:lang w:eastAsia="hi-IN" w:bidi="hi-IN"/>
        </w:rPr>
        <w:t xml:space="preserve">1)</w:t>
      </w:r>
      <w:r>
        <w:rPr>
          <w:rFonts w:eastAsia="SimSun" w:cs="Lucida Sans"/>
          <w:color w:val="ff0000"/>
          <w:sz w:val="28"/>
          <w:szCs w:val="28"/>
          <w:lang w:eastAsia="hi-IN" w:bidi="hi-IN"/>
        </w:rPr>
        <w:t xml:space="preserve"> </w:t>
      </w:r>
      <w:r>
        <w:rPr>
          <w:rFonts w:eastAsia="SimSun" w:cs="Lucida Sans"/>
          <w:sz w:val="28"/>
          <w:szCs w:val="28"/>
          <w:lang w:eastAsia="hi-IN" w:bidi="hi-IN"/>
        </w:rPr>
        <w:t xml:space="preserve">не допускать включения коллективных договоров с истекшими сроками действия в реестр коллективных договоров города Новосибирска;</w:t>
      </w:r>
      <w:r>
        <w:rPr>
          <w:rFonts w:eastAsia="SimSun" w:cs="Lucida Sans"/>
          <w:sz w:val="28"/>
          <w:szCs w:val="28"/>
          <w:lang w:eastAsia="hi-IN" w:bidi="hi-IN"/>
        </w:rPr>
      </w:r>
      <w:r>
        <w:rPr>
          <w:rFonts w:eastAsia="SimSun" w:cs="Lucida Sans"/>
          <w:sz w:val="28"/>
          <w:szCs w:val="28"/>
          <w:lang w:eastAsia="hi-IN" w:bidi="hi-IN"/>
        </w:rPr>
      </w:r>
    </w:p>
    <w:p>
      <w:pPr>
        <w:ind w:firstLine="709"/>
        <w:jc w:val="both"/>
        <w:tabs>
          <w:tab w:val="left" w:pos="1134" w:leader="none"/>
          <w:tab w:val="left" w:pos="9720" w:leader="none"/>
        </w:tabs>
        <w:rPr>
          <w:sz w:val="28"/>
          <w:szCs w:val="28"/>
          <w:highlight w:val="none"/>
        </w:rPr>
      </w:pPr>
      <w:r>
        <w:rPr>
          <w:spacing w:val="-5"/>
          <w:sz w:val="28"/>
          <w:szCs w:val="28"/>
        </w:rPr>
        <w:t xml:space="preserve">2) </w:t>
      </w:r>
      <w:r>
        <w:rPr>
          <w:sz w:val="28"/>
          <w:szCs w:val="28"/>
        </w:rPr>
        <w:t xml:space="preserve">привлекать большее число организаций города Новосибирска к участию в региональном этапе всероссийского конкурса «Российская организация высокой социальной эффективности», в региональном конкурсе «Лучший специалист по охране труда»;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134" w:leader="none"/>
          <w:tab w:val="left" w:pos="972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  <w:lang w:val="ru-RU"/>
        </w:rPr>
        <w:t xml:space="preserve">проинформировать Комиссию о выполнении решения до 20.12.2024.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rPr>
          <w:rFonts w:eastAsia="SimSun" w:cs="Lucida Sans"/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/>
        </w:rPr>
        <w:t xml:space="preserve">4.</w:t>
      </w:r>
      <w:r>
        <w:rPr>
          <w:rFonts w:eastAsia="SimSun" w:cs="Lucida Sans"/>
          <w:sz w:val="28"/>
          <w:szCs w:val="28"/>
          <w:lang w:eastAsia="hi-IN" w:bidi="hi-IN"/>
        </w:rPr>
        <w:t xml:space="preserve"> </w:t>
      </w:r>
      <w:r>
        <w:rPr>
          <w:rFonts w:eastAsia="SimSun" w:cs="Lucida Sans"/>
          <w:sz w:val="28"/>
          <w:szCs w:val="28"/>
          <w:lang w:val="ru-RU" w:eastAsia="hi-IN" w:bidi="hi-IN"/>
        </w:rPr>
        <w:t xml:space="preserve">Рекомендовать </w:t>
      </w:r>
      <w:r>
        <w:rPr>
          <w:rFonts w:eastAsia="SimSun" w:cs="Lucida Sans"/>
          <w:sz w:val="28"/>
          <w:szCs w:val="28"/>
          <w:lang w:val="ru-RU" w:eastAsia="hi-IN" w:bidi="hi-IN"/>
        </w:rPr>
        <w:t xml:space="preserve">мин</w:t>
      </w:r>
      <w:r>
        <w:rPr>
          <w:rFonts w:eastAsia="SimSun" w:cs="Lucida Sans"/>
          <w:sz w:val="28"/>
          <w:szCs w:val="28"/>
          <w:lang w:val="ru-RU" w:eastAsia="hi-IN" w:bidi="hi-IN"/>
        </w:rPr>
        <w:t xml:space="preserve">истерству труда и социального развития Новосибирской области, мэрии города Новосибирска организовать совещание </w:t>
      </w:r>
      <w:r>
        <w:rPr>
          <w:rFonts w:eastAsia="SimSun" w:cs="Lucida Sans"/>
          <w:sz w:val="28"/>
          <w:szCs w:val="28"/>
          <w:lang w:val="ru-RU" w:eastAsia="hi-IN" w:bidi="hi-IN"/>
        </w:rPr>
        <w:t xml:space="preserve">по вопросу правового обоснования </w:t>
      </w:r>
      <w:r>
        <w:rPr>
          <w:bCs/>
          <w:sz w:val="28"/>
          <w:szCs w:val="28"/>
        </w:rPr>
        <w:t xml:space="preserve">участия представителей мэрии города Новосибирска в комиссиях по расследованию несчастных случаев на производстве.</w:t>
      </w:r>
      <w:r>
        <w:rPr>
          <w:rFonts w:eastAsia="SimSun" w:cs="Lucida Sans"/>
          <w:sz w:val="28"/>
          <w:szCs w:val="28"/>
          <w:lang w:val="ru-RU" w:eastAsia="hi-IN" w:bidi="hi-IN"/>
        </w:rPr>
        <w:t xml:space="preserve"> </w:t>
      </w:r>
      <w:r>
        <w:rPr>
          <w:rFonts w:eastAsia="SimSun" w:cs="Lucida Sans"/>
          <w:sz w:val="28"/>
          <w:szCs w:val="28"/>
          <w:lang w:val="ru-RU" w:eastAsia="hi-IN" w:bidi="hi-IN"/>
        </w:rPr>
      </w:r>
      <w:r>
        <w:rPr>
          <w:rFonts w:eastAsia="SimSun" w:cs="Lucida Sans"/>
          <w:sz w:val="28"/>
          <w:szCs w:val="28"/>
          <w:lang w:val="ru-RU" w:eastAsia="hi-IN" w:bidi="hi-IN"/>
        </w:rPr>
      </w:r>
    </w:p>
    <w:p>
      <w:pPr>
        <w:pStyle w:val="8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67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</w:t>
            </w:r>
            <w:r>
              <w:rPr>
                <w:sz w:val="28"/>
                <w:szCs w:val="28"/>
                <w:lang w:eastAsia="en-US"/>
              </w:rPr>
              <w:t xml:space="preserve"> заместитель Председателя Правите</w:t>
            </w:r>
            <w:r>
              <w:rPr>
                <w:sz w:val="28"/>
                <w:szCs w:val="28"/>
                <w:lang w:eastAsia="en-US"/>
              </w:rPr>
              <w:t xml:space="preserve">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6" w:type="dxa"/>
            <w:textDirection w:val="lrTb"/>
            <w:noWrap w:val="false"/>
          </w:tcPr>
          <w:p>
            <w:pPr>
              <w:pStyle w:val="880"/>
              <w:ind w:firstLine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</w:r>
            <w:r>
              <w:rPr>
                <w:sz w:val="28"/>
                <w:szCs w:val="28"/>
                <w:lang w:val="ru-RU" w:eastAsia="en-US"/>
              </w:rPr>
            </w:r>
            <w:r>
              <w:rPr>
                <w:sz w:val="28"/>
                <w:szCs w:val="28"/>
                <w:lang w:val="ru-RU" w:eastAsia="en-US"/>
              </w:rPr>
            </w:r>
          </w:p>
          <w:p>
            <w:pPr>
              <w:pStyle w:val="880"/>
              <w:ind w:firstLine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</w:r>
            <w:r>
              <w:rPr>
                <w:sz w:val="28"/>
                <w:szCs w:val="28"/>
                <w:lang w:val="ru-RU" w:eastAsia="en-US"/>
              </w:rPr>
            </w:r>
            <w:r>
              <w:rPr>
                <w:sz w:val="28"/>
                <w:szCs w:val="28"/>
                <w:lang w:val="ru-RU" w:eastAsia="en-US"/>
              </w:rPr>
            </w:r>
          </w:p>
          <w:p>
            <w:pPr>
              <w:pStyle w:val="880"/>
              <w:ind w:firstLine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 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93" w:left="1418" w:header="567" w:footer="442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Lucida Sans">
    <w:panose1 w:val="020B0603030804020204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  <w:rPr>
      <w:rFonts w:ascii="Times New Roman" w:hAnsi="Times New Roman" w:eastAsia="Times New Roman"/>
      <w:lang w:eastAsia="ru-RU"/>
    </w:rPr>
  </w:style>
  <w:style w:type="paragraph" w:styleId="679">
    <w:name w:val="Heading 1"/>
    <w:basedOn w:val="678"/>
    <w:next w:val="678"/>
    <w:link w:val="889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80">
    <w:name w:val="Heading 2"/>
    <w:basedOn w:val="678"/>
    <w:next w:val="678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678"/>
    <w:next w:val="678"/>
    <w:link w:val="873"/>
    <w:qFormat/>
    <w:pPr>
      <w:keepNext/>
      <w:outlineLvl w:val="6"/>
    </w:pPr>
    <w:rPr>
      <w:sz w:val="28"/>
      <w:lang w:val="en-US"/>
    </w:rPr>
  </w:style>
  <w:style w:type="paragraph" w:styleId="686">
    <w:name w:val="Heading 8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8"/>
    <w:uiPriority w:val="10"/>
    <w:rPr>
      <w:sz w:val="48"/>
      <w:szCs w:val="48"/>
    </w:rPr>
  </w:style>
  <w:style w:type="character" w:styleId="699" w:customStyle="1">
    <w:name w:val="Subtitle Char"/>
    <w:basedOn w:val="688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80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81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78"/>
    <w:uiPriority w:val="34"/>
    <w:qFormat/>
    <w:pPr>
      <w:contextualSpacing/>
      <w:ind w:left="720"/>
    </w:pPr>
  </w:style>
  <w:style w:type="paragraph" w:styleId="714">
    <w:name w:val="No Spacing"/>
    <w:uiPriority w:val="1"/>
    <w:qFormat/>
  </w:style>
  <w:style w:type="paragraph" w:styleId="715">
    <w:name w:val="Title"/>
    <w:basedOn w:val="678"/>
    <w:next w:val="678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Название Знак"/>
    <w:link w:val="715"/>
    <w:uiPriority w:val="10"/>
    <w:rPr>
      <w:sz w:val="48"/>
      <w:szCs w:val="48"/>
    </w:rPr>
  </w:style>
  <w:style w:type="paragraph" w:styleId="717">
    <w:name w:val="Subtitle"/>
    <w:basedOn w:val="678"/>
    <w:next w:val="678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78"/>
    <w:next w:val="678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78"/>
    <w:next w:val="678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78"/>
    <w:link w:val="88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4" w:customStyle="1">
    <w:name w:val="Header Char"/>
    <w:uiPriority w:val="99"/>
  </w:style>
  <w:style w:type="paragraph" w:styleId="725">
    <w:name w:val="Footer"/>
    <w:basedOn w:val="678"/>
    <w:link w:val="88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6" w:customStyle="1">
    <w:name w:val="Footer Char"/>
    <w:uiPriority w:val="99"/>
  </w:style>
  <w:style w:type="paragraph" w:styleId="727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basedOn w:val="689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678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78"/>
    <w:link w:val="860"/>
    <w:uiPriority w:val="99"/>
    <w:semiHidden/>
    <w:unhideWhenUsed/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78"/>
    <w:next w:val="678"/>
    <w:uiPriority w:val="39"/>
    <w:unhideWhenUsed/>
    <w:pPr>
      <w:spacing w:after="57"/>
    </w:pPr>
  </w:style>
  <w:style w:type="paragraph" w:styleId="863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4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5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6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67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68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69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70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78"/>
    <w:next w:val="678"/>
    <w:uiPriority w:val="99"/>
    <w:unhideWhenUsed/>
  </w:style>
  <w:style w:type="character" w:styleId="873" w:customStyle="1">
    <w:name w:val="Заголовок 7 Знак"/>
    <w:link w:val="68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4">
    <w:name w:val="Body Text 2"/>
    <w:basedOn w:val="678"/>
    <w:link w:val="875"/>
    <w:pPr>
      <w:jc w:val="center"/>
    </w:pPr>
    <w:rPr>
      <w:sz w:val="28"/>
      <w:lang w:val="en-US"/>
    </w:rPr>
  </w:style>
  <w:style w:type="character" w:styleId="875" w:customStyle="1">
    <w:name w:val="Основной текст 2 Знак"/>
    <w:link w:val="87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6">
    <w:name w:val="Body Text Indent 3"/>
    <w:basedOn w:val="678"/>
    <w:link w:val="877"/>
    <w:pPr>
      <w:ind w:firstLine="720"/>
      <w:jc w:val="both"/>
    </w:pPr>
    <w:rPr>
      <w:sz w:val="26"/>
      <w:lang w:val="en-US"/>
    </w:rPr>
  </w:style>
  <w:style w:type="character" w:styleId="877" w:customStyle="1">
    <w:name w:val="Основной текст с отступом 3 Знак"/>
    <w:link w:val="876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78">
    <w:name w:val="Body Text"/>
    <w:basedOn w:val="678"/>
    <w:link w:val="879"/>
    <w:pPr>
      <w:jc w:val="both"/>
    </w:pPr>
    <w:rPr>
      <w:sz w:val="28"/>
      <w:lang w:val="en-US"/>
    </w:rPr>
  </w:style>
  <w:style w:type="character" w:styleId="879" w:customStyle="1">
    <w:name w:val="Основной текст Знак"/>
    <w:link w:val="87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0">
    <w:name w:val="Body Text Indent"/>
    <w:basedOn w:val="678"/>
    <w:link w:val="881"/>
    <w:pPr>
      <w:ind w:firstLine="709"/>
      <w:jc w:val="both"/>
    </w:pPr>
    <w:rPr>
      <w:color w:val="000000"/>
      <w:sz w:val="26"/>
      <w:lang w:val="en-US"/>
    </w:rPr>
  </w:style>
  <w:style w:type="character" w:styleId="881" w:customStyle="1">
    <w:name w:val="Основной текст с отступом Знак"/>
    <w:link w:val="880"/>
    <w:rPr>
      <w:rFonts w:ascii="Times New Roman" w:hAnsi="Times New Roman" w:eastAsia="Times New Roman" w:cs="Times New Roman"/>
      <w:color w:val="000000"/>
      <w:sz w:val="26"/>
      <w:szCs w:val="20"/>
      <w:lang w:eastAsia="ru-RU"/>
    </w:rPr>
  </w:style>
  <w:style w:type="paragraph" w:styleId="882">
    <w:name w:val="Body Text Indent 2"/>
    <w:basedOn w:val="678"/>
    <w:link w:val="883"/>
    <w:pPr>
      <w:ind w:left="709"/>
      <w:jc w:val="both"/>
    </w:pPr>
    <w:rPr>
      <w:color w:val="000000"/>
      <w:sz w:val="28"/>
      <w:lang w:val="en-US"/>
    </w:rPr>
  </w:style>
  <w:style w:type="character" w:styleId="883" w:customStyle="1">
    <w:name w:val="Основной текст с отступом 2 Знак"/>
    <w:link w:val="882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884" w:customStyle="1">
    <w:name w:val="Верхний колонтитул Знак"/>
    <w:link w:val="723"/>
    <w:uiPriority w:val="99"/>
    <w:rPr>
      <w:rFonts w:ascii="Times New Roman" w:hAnsi="Times New Roman" w:eastAsia="Times New Roman"/>
    </w:rPr>
  </w:style>
  <w:style w:type="character" w:styleId="885" w:customStyle="1">
    <w:name w:val="Нижний колонтитул Знак"/>
    <w:link w:val="725"/>
    <w:uiPriority w:val="99"/>
    <w:rPr>
      <w:rFonts w:ascii="Times New Roman" w:hAnsi="Times New Roman" w:eastAsia="Times New Roman"/>
    </w:rPr>
  </w:style>
  <w:style w:type="paragraph" w:styleId="886">
    <w:name w:val="Balloon Text"/>
    <w:basedOn w:val="678"/>
    <w:link w:val="887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87" w:customStyle="1">
    <w:name w:val="Текст выноски Знак"/>
    <w:link w:val="886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88" w:customStyle="1">
    <w:name w:val="Знак"/>
    <w:basedOn w:val="678"/>
    <w:pPr>
      <w:ind w:left="26"/>
      <w:spacing w:after="160" w:line="240" w:lineRule="exact"/>
    </w:pPr>
    <w:rPr>
      <w:sz w:val="24"/>
      <w:szCs w:val="24"/>
      <w:lang w:val="en-US" w:eastAsia="en-US"/>
    </w:rPr>
  </w:style>
  <w:style w:type="character" w:styleId="889" w:customStyle="1">
    <w:name w:val="Заголовок 1 Знак"/>
    <w:link w:val="679"/>
    <w:uiPriority w:val="9"/>
    <w:rPr>
      <w:rFonts w:ascii="Cambria" w:hAnsi="Cambria" w:eastAsia="Times New Roman" w:cs="Times New Roman"/>
      <w:b/>
      <w:bCs/>
      <w:sz w:val="32"/>
      <w:szCs w:val="32"/>
    </w:rPr>
  </w:style>
  <w:style w:type="paragraph" w:styleId="890" w:customStyle="1">
    <w:name w:val="Основной текст с отступом.Мой Заголовок 1.Основной текст 1"/>
    <w:basedOn w:val="678"/>
    <w:pPr>
      <w:ind w:firstLine="709"/>
      <w:jc w:val="both"/>
    </w:pPr>
    <w:rPr>
      <w:sz w:val="28"/>
    </w:rPr>
  </w:style>
  <w:style w:type="paragraph" w:styleId="891" w:customStyle="1">
    <w:name w:val="Абзац списка;Абзац списка в таблице;List Paragraph;Bullet List;FooterText;numbered"/>
    <w:basedOn w:val="678"/>
    <w:link w:val="892"/>
    <w:uiPriority w:val="34"/>
    <w:qFormat/>
    <w:pPr>
      <w:contextualSpacing/>
      <w:ind w:left="720" w:firstLine="709"/>
      <w:jc w:val="both"/>
      <w:spacing w:after="100" w:afterAutospacing="1"/>
    </w:pPr>
    <w:rPr>
      <w:rFonts w:ascii="Calibri" w:hAnsi="Calibri" w:eastAsia="Calibri"/>
      <w:sz w:val="22"/>
      <w:szCs w:val="22"/>
      <w:lang w:eastAsia="en-US"/>
    </w:rPr>
  </w:style>
  <w:style w:type="character" w:styleId="892" w:customStyle="1">
    <w:name w:val="Абзац списка Знак;Абзац списка в таблице Знак;List Paragraph Знак;Bullet List Знак;FooterText Знак;numbered Знак"/>
    <w:link w:val="891"/>
    <w:uiPriority w:val="34"/>
    <w:rPr>
      <w:sz w:val="22"/>
      <w:szCs w:val="22"/>
      <w:lang w:eastAsia="en-US"/>
    </w:rPr>
  </w:style>
  <w:style w:type="paragraph" w:styleId="893" w:customStyle="1">
    <w:name w:val="Основной текст (3)"/>
    <w:basedOn w:val="679"/>
    <w:pPr>
      <w:jc w:val="center"/>
      <w:keepNext w:val="0"/>
      <w:spacing w:before="0" w:after="600" w:line="319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6"/>
      <w:szCs w:val="2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Людмила Михайловна</dc:creator>
  <cp:revision>19</cp:revision>
  <dcterms:created xsi:type="dcterms:W3CDTF">2024-04-11T10:47:00Z</dcterms:created>
  <dcterms:modified xsi:type="dcterms:W3CDTF">2024-04-26T07:35:15Z</dcterms:modified>
  <cp:version>983040</cp:version>
</cp:coreProperties>
</file>