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widowControl w:val="off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6"/>
        <w:keepNext/>
        <w:widowControl w:val="off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НОВОСИБИРСКАЯ ОБЛАСТНАЯ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56"/>
        <w:keepNext/>
        <w:widowControl w:val="o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ТРЕХСТОРОННЯЯ КОМИССИЯ ПО РЕГУЛИРОВАНИЮ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56"/>
        <w:keepNext/>
        <w:widowControl w:val="off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СОЦИАЛЬНО-ТРУДОВЫХ ОТНОШЕНИЙ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keepNext/>
        <w:widowControl w:val="o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56"/>
        <w:keepNext/>
        <w:widowControl w:val="o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РЕШЕНИЕ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56"/>
        <w:keepNext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6"/>
              <w:keepNext/>
              <w:widowControl w:val="o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28.02.2024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6"/>
              <w:keepNext/>
              <w:widowControl w:val="o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г. Новосибирск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2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6"/>
              <w:keepNext/>
              <w:widowControl w:val="off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  <w:t xml:space="preserve">/5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56"/>
        <w:keepNext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4961"/>
      </w:tblGrid>
      <w:tr>
        <w:trPr/>
        <w:tblPrEx/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6"/>
              <w:keepNext/>
              <w:widowControl w:val="o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О ситуации на потребительском рынке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6"/>
              <w:keepNext/>
              <w:widowControl w:val="o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</w:r>
      <w:r>
        <w:rPr>
          <w:b/>
          <w:bCs/>
          <w:color w:val="000000" w:themeColor="text1"/>
          <w:sz w:val="27"/>
          <w:szCs w:val="27"/>
        </w:rPr>
      </w:r>
      <w:r>
        <w:rPr>
          <w:b/>
          <w:bCs/>
          <w:color w:val="000000" w:themeColor="text1"/>
          <w:sz w:val="27"/>
          <w:szCs w:val="27"/>
        </w:rPr>
      </w:r>
    </w:p>
    <w:p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</w:r>
      <w:r>
        <w:rPr>
          <w:b/>
          <w:bCs/>
          <w:color w:val="000000" w:themeColor="text1"/>
          <w:sz w:val="27"/>
          <w:szCs w:val="27"/>
        </w:rPr>
      </w:r>
      <w:r>
        <w:rPr>
          <w:b/>
          <w:bCs/>
          <w:color w:val="000000" w:themeColor="text1"/>
          <w:sz w:val="27"/>
          <w:szCs w:val="27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Заслушав </w:t>
      </w:r>
      <w:r>
        <w:rPr>
          <w:color w:val="000000" w:themeColor="text1"/>
          <w:sz w:val="28"/>
          <w:szCs w:val="28"/>
        </w:rPr>
        <w:t xml:space="preserve">информацию </w:t>
      </w:r>
      <w:r>
        <w:rPr>
          <w:color w:val="000000" w:themeColor="text1"/>
          <w:sz w:val="28"/>
          <w:szCs w:val="28"/>
        </w:rPr>
        <w:t xml:space="preserve">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инистерства </w:t>
      </w:r>
      <w:r>
        <w:rPr>
          <w:color w:val="000000" w:themeColor="text1"/>
          <w:sz w:val="28"/>
          <w:szCs w:val="28"/>
        </w:rPr>
        <w:t xml:space="preserve">промышленности, торговли и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предпринимательства Новосибирской области</w:t>
      </w:r>
      <w:r>
        <w:rPr>
          <w:color w:val="000000" w:themeColor="text1"/>
          <w:sz w:val="28"/>
          <w:szCs w:val="28"/>
        </w:rPr>
        <w:t xml:space="preserve"> (далее – Минпромторг НСО), департамента по тарифам Новосибирской области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Комиссия </w:t>
      </w:r>
      <w:r>
        <w:rPr>
          <w:color w:val="000000" w:themeColor="text1"/>
          <w:sz w:val="28"/>
          <w:szCs w:val="28"/>
        </w:rPr>
        <w:t xml:space="preserve">отмечает, </w:t>
      </w:r>
      <w:r>
        <w:rPr>
          <w:color w:val="000000" w:themeColor="text1"/>
          <w:sz w:val="28"/>
          <w:szCs w:val="28"/>
        </w:rPr>
        <w:t xml:space="preserve">что Правительством </w:t>
      </w:r>
      <w:r>
        <w:rPr>
          <w:color w:val="000000" w:themeColor="text1"/>
          <w:sz w:val="28"/>
          <w:szCs w:val="28"/>
        </w:rPr>
        <w:t xml:space="preserve">Новосибирской </w:t>
      </w:r>
      <w:r>
        <w:rPr>
          <w:color w:val="000000" w:themeColor="text1"/>
          <w:sz w:val="28"/>
          <w:szCs w:val="28"/>
        </w:rPr>
        <w:t xml:space="preserve">области совместно с торговыми сетями предпринимаются меры по сдерживанию роста цен и обеспечению наличия всех групп продовольственных товаров, в том числе товаров первой необходимости в необходимом об</w:t>
      </w:r>
      <w:r>
        <w:rPr>
          <w:color w:val="000000" w:themeColor="text1"/>
          <w:sz w:val="28"/>
          <w:szCs w:val="28"/>
        </w:rPr>
        <w:t xml:space="preserve">ъеме и ассортименте.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данным </w:t>
      </w:r>
      <w:r>
        <w:rPr>
          <w:color w:val="000000" w:themeColor="text1"/>
          <w:sz w:val="28"/>
          <w:szCs w:val="28"/>
        </w:rPr>
        <w:t xml:space="preserve">Территориальн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Федеральной службы государственной статистики по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декабре</w:t>
      </w:r>
      <w:r>
        <w:rPr>
          <w:color w:val="000000" w:themeColor="text1"/>
          <w:sz w:val="28"/>
          <w:szCs w:val="28"/>
        </w:rPr>
        <w:t xml:space="preserve"> 2023 года индекс потребительских цен в Новосибирской области составил 108,1% к декабрю 2022 года, в том числе на продовольственные товары – 108,7%. </w:t>
      </w:r>
      <w:r>
        <w:rPr>
          <w:color w:val="000000" w:themeColor="text1"/>
          <w:sz w:val="28"/>
          <w:szCs w:val="28"/>
        </w:rPr>
        <w:t xml:space="preserve">По Сибирскому федеральному округу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соответственно  </w:t>
      </w:r>
      <w:r>
        <w:rPr>
          <w:color w:val="000000" w:themeColor="text1"/>
          <w:sz w:val="28"/>
          <w:szCs w:val="28"/>
        </w:rPr>
        <w:t xml:space="preserve">– 108</w:t>
      </w:r>
      <w:r>
        <w:rPr>
          <w:color w:val="000000" w:themeColor="text1"/>
          <w:sz w:val="28"/>
          <w:szCs w:val="28"/>
        </w:rPr>
        <w:t xml:space="preserve">%, в том числе на</w:t>
      </w:r>
      <w:r>
        <w:rPr>
          <w:color w:val="000000" w:themeColor="text1"/>
          <w:sz w:val="28"/>
          <w:szCs w:val="28"/>
        </w:rPr>
        <w:t xml:space="preserve"> продовольственные товары – 109,1%.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действующим законодательством предельно допустимые розничные цены на отдельные виды социально значимых продовольственных товаров первой необходимости устанавливает Правительство Российской Федерации.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</w:t>
      </w:r>
      <w:r>
        <w:rPr>
          <w:color w:val="000000" w:themeColor="text1"/>
          <w:sz w:val="28"/>
          <w:szCs w:val="28"/>
        </w:rPr>
        <w:t xml:space="preserve"> мероприятий по сдерживанию роста цен на основные продукты питания строи</w:t>
      </w:r>
      <w:r>
        <w:rPr>
          <w:color w:val="000000" w:themeColor="text1"/>
          <w:sz w:val="28"/>
          <w:szCs w:val="28"/>
        </w:rPr>
        <w:t xml:space="preserve">тся </w:t>
      </w:r>
      <w:r>
        <w:rPr>
          <w:color w:val="000000" w:themeColor="text1"/>
          <w:sz w:val="28"/>
          <w:szCs w:val="28"/>
        </w:rPr>
        <w:t xml:space="preserve">с учетом возложенных на Правительство </w:t>
      </w:r>
      <w:r>
        <w:rPr>
          <w:color w:val="000000" w:themeColor="text1"/>
          <w:sz w:val="28"/>
          <w:szCs w:val="28"/>
        </w:rPr>
        <w:t xml:space="preserve">Новосибирской </w:t>
      </w:r>
      <w:r>
        <w:rPr>
          <w:color w:val="000000" w:themeColor="text1"/>
          <w:sz w:val="28"/>
          <w:szCs w:val="28"/>
        </w:rPr>
        <w:t xml:space="preserve">области и </w:t>
      </w:r>
      <w:r>
        <w:rPr>
          <w:color w:val="000000" w:themeColor="text1"/>
          <w:sz w:val="28"/>
          <w:szCs w:val="28"/>
        </w:rPr>
        <w:t xml:space="preserve">органы местного самоуправления Новосибирской области полномочий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Организовано </w:t>
      </w:r>
      <w:r>
        <w:rPr>
          <w:color w:val="000000" w:themeColor="text1"/>
          <w:sz w:val="28"/>
          <w:szCs w:val="28"/>
        </w:rPr>
        <w:t xml:space="preserve">проведение оперативного мониторинга и контроля за состоянием региональных рынков сырья и продовольствия </w:t>
      </w:r>
      <w:r>
        <w:rPr>
          <w:color w:val="000000" w:themeColor="text1"/>
          <w:sz w:val="28"/>
          <w:szCs w:val="28"/>
        </w:rPr>
        <w:t xml:space="preserve">по 68 товарным позициям в более 300 торговых объектах Новосибирской области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Фиксируется </w:t>
      </w:r>
      <w:r>
        <w:rPr>
          <w:color w:val="000000" w:themeColor="text1"/>
          <w:sz w:val="28"/>
          <w:szCs w:val="28"/>
        </w:rPr>
        <w:t xml:space="preserve">стабильное состояние потребительского рын</w:t>
      </w:r>
      <w:r>
        <w:rPr>
          <w:color w:val="000000" w:themeColor="text1"/>
          <w:sz w:val="28"/>
          <w:szCs w:val="28"/>
        </w:rPr>
        <w:t xml:space="preserve">ка Н</w:t>
      </w:r>
      <w:r>
        <w:rPr>
          <w:color w:val="000000" w:themeColor="text1"/>
          <w:sz w:val="28"/>
          <w:szCs w:val="28"/>
        </w:rPr>
        <w:t xml:space="preserve">овосибирской области в части наличия ассортимента товаров и изменения потребительских цен в соответствии с общероссийскими тенденция</w:t>
      </w:r>
      <w:r>
        <w:rPr>
          <w:color w:val="000000" w:themeColor="text1"/>
          <w:sz w:val="28"/>
          <w:szCs w:val="28"/>
        </w:rPr>
        <w:t xml:space="preserve">ми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итуация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связанная с повышением цен на ряд продуктов питания, включая яйца кур, </w:t>
      </w:r>
      <w:r>
        <w:rPr>
          <w:color w:val="000000" w:themeColor="text1"/>
          <w:sz w:val="28"/>
          <w:szCs w:val="28"/>
        </w:rPr>
        <w:t xml:space="preserve">в конце 2023 года сложилась </w:t>
      </w:r>
      <w:r>
        <w:rPr>
          <w:color w:val="000000" w:themeColor="text1"/>
          <w:sz w:val="28"/>
          <w:szCs w:val="28"/>
        </w:rPr>
        <w:t xml:space="preserve">во многих субъектах Российской Федерации, что привело к принятию Пра</w:t>
      </w:r>
      <w:r>
        <w:rPr>
          <w:color w:val="000000" w:themeColor="text1"/>
          <w:sz w:val="28"/>
          <w:szCs w:val="28"/>
        </w:rPr>
        <w:t xml:space="preserve">вительством Российской Федерации мер, направленных на стабилизацию ситуации на рынке: </w:t>
      </w:r>
      <w:r>
        <w:rPr>
          <w:color w:val="000000" w:themeColor="text1"/>
          <w:sz w:val="28"/>
          <w:szCs w:val="28"/>
        </w:rPr>
        <w:t xml:space="preserve">обнуление импортных пошлин, поставка из зарубежных стран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Оперативным штабом </w:t>
      </w:r>
      <w:r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обеспечению устойчивости экономики Новосибирской области</w:t>
      </w:r>
      <w:r>
        <w:rPr>
          <w:color w:val="000000" w:themeColor="text1"/>
          <w:sz w:val="28"/>
          <w:szCs w:val="28"/>
        </w:rPr>
        <w:t xml:space="preserve"> в постоянном режиме рассма</w:t>
      </w:r>
      <w:r>
        <w:rPr>
          <w:color w:val="000000" w:themeColor="text1"/>
          <w:sz w:val="28"/>
          <w:szCs w:val="28"/>
        </w:rPr>
        <w:t xml:space="preserve">тр</w:t>
      </w:r>
      <w:r>
        <w:rPr>
          <w:color w:val="000000" w:themeColor="text1"/>
          <w:sz w:val="28"/>
          <w:szCs w:val="28"/>
        </w:rPr>
        <w:t xml:space="preserve">иваются</w:t>
      </w:r>
      <w:r>
        <w:rPr>
          <w:color w:val="000000" w:themeColor="text1"/>
          <w:sz w:val="28"/>
          <w:szCs w:val="28"/>
        </w:rPr>
        <w:t xml:space="preserve"> вопросы ценообразования на ряд товарных групп, в том числе на куриное яйцо</w:t>
      </w:r>
      <w:r>
        <w:rPr>
          <w:color w:val="000000" w:themeColor="text1"/>
          <w:sz w:val="28"/>
          <w:szCs w:val="28"/>
        </w:rPr>
        <w:t xml:space="preserve">. Отдельные федеральные</w:t>
      </w:r>
      <w:r>
        <w:rPr>
          <w:color w:val="000000" w:themeColor="text1"/>
          <w:sz w:val="28"/>
          <w:szCs w:val="28"/>
        </w:rPr>
        <w:t xml:space="preserve"> сети (Магнит, Пятерочка) с февраля 2022 года до настоящего времени продолжают соблюдать добровольные ограничения до 10% торговой надбавки на 24 позиции социально-значимых продуктов питания, а том числе яйца куриные.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Региональными сетями (Быстроном, Продсиб) подписано Соглашение с Минпромторгом НСО о добровольном ограничении в январе 2024 года торговой надбавки до 10% на яйца куриные категории С1.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 течение </w:t>
      </w:r>
      <w:r>
        <w:rPr>
          <w:color w:val="000000" w:themeColor="text1"/>
          <w:sz w:val="28"/>
          <w:szCs w:val="28"/>
        </w:rPr>
        <w:t xml:space="preserve">последних </w:t>
      </w:r>
      <w:r>
        <w:rPr>
          <w:color w:val="000000" w:themeColor="text1"/>
          <w:sz w:val="28"/>
          <w:szCs w:val="28"/>
        </w:rPr>
        <w:t xml:space="preserve">4 недель наблюдается стабильное снижение розничных цен </w:t>
      </w:r>
      <w:r>
        <w:rPr>
          <w:color w:val="000000" w:themeColor="text1"/>
          <w:sz w:val="28"/>
          <w:szCs w:val="28"/>
        </w:rPr>
        <w:t xml:space="preserve">на яйца куриные</w:t>
      </w:r>
      <w:r>
        <w:rPr>
          <w:color w:val="000000" w:themeColor="text1"/>
          <w:sz w:val="28"/>
          <w:szCs w:val="28"/>
        </w:rPr>
        <w:t xml:space="preserve"> в среднем на 2-4% еженедельно.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Большое внимание уделяется организации и проведению различных ярмарочных мероприятий, которые способствуют насыщению потребительского рынка товарами от местных производителей и сдерживанию роста цен. </w:t>
      </w:r>
      <w:r>
        <w:rPr>
          <w:color w:val="000000" w:themeColor="text1"/>
          <w:sz w:val="28"/>
          <w:szCs w:val="28"/>
        </w:rPr>
        <w:t xml:space="preserve">В 2023 году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регионе </w:t>
      </w:r>
      <w:r>
        <w:rPr>
          <w:color w:val="000000" w:themeColor="text1"/>
          <w:sz w:val="28"/>
          <w:szCs w:val="28"/>
        </w:rPr>
        <w:t xml:space="preserve">проведено </w:t>
      </w:r>
      <w:r>
        <w:rPr>
          <w:color w:val="000000" w:themeColor="text1"/>
          <w:sz w:val="28"/>
          <w:szCs w:val="28"/>
        </w:rPr>
        <w:t xml:space="preserve">около 2,6 тыс. ярмарочных мероприятий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том числе 240 ярмарок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органами государственной власти, в рамках которых торговые места предоставляются бесплатно.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Минпромторг НСО осуществляет ежедневный мониторинг цен на автомобильное топливо. В результате принятых Правительством Российской Федер</w:t>
      </w:r>
      <w:r>
        <w:rPr>
          <w:color w:val="000000" w:themeColor="text1"/>
          <w:sz w:val="28"/>
          <w:szCs w:val="28"/>
        </w:rPr>
        <w:t xml:space="preserve">ации стабилизационных мер в настоящее время в регионе стабильная ситуация на рынке автомобильного бензина и дизельного топлива, </w:t>
      </w:r>
      <w:r>
        <w:rPr>
          <w:color w:val="000000" w:themeColor="text1"/>
          <w:sz w:val="28"/>
          <w:szCs w:val="28"/>
        </w:rPr>
        <w:t xml:space="preserve">в розничной торговле с начала 2024 года выявлен незначительный рост цен на горюче- смазочные материалы.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Проводится </w:t>
      </w:r>
      <w:r>
        <w:rPr>
          <w:color w:val="000000" w:themeColor="text1"/>
          <w:sz w:val="28"/>
          <w:szCs w:val="28"/>
        </w:rPr>
        <w:t xml:space="preserve">совместная работа с </w:t>
      </w:r>
      <w:r>
        <w:rPr>
          <w:color w:val="000000" w:themeColor="text1"/>
          <w:sz w:val="28"/>
          <w:szCs w:val="28"/>
        </w:rPr>
        <w:t xml:space="preserve">Прокуратурой Новосибирской области,</w:t>
      </w:r>
      <w:r>
        <w:rPr>
          <w:color w:val="000000" w:themeColor="text1"/>
          <w:sz w:val="28"/>
          <w:szCs w:val="28"/>
        </w:rPr>
        <w:t xml:space="preserve"> управлением Федеральной антимонопольной службы по Новосибирской области (далее – УФАС НСО) по выявлению фактов необоснованного повышения цен и нарушения ант</w:t>
      </w:r>
      <w:r>
        <w:rPr>
          <w:color w:val="000000" w:themeColor="text1"/>
          <w:sz w:val="28"/>
          <w:szCs w:val="28"/>
        </w:rPr>
        <w:t xml:space="preserve">имонопольного законодательства.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Контроль</w:t>
      </w:r>
      <w:r>
        <w:rPr>
          <w:color w:val="000000" w:themeColor="text1"/>
          <w:sz w:val="28"/>
          <w:szCs w:val="28"/>
        </w:rPr>
        <w:t xml:space="preserve"> за ценами выявляет факты их необоснованного роста в отношении всей товаропроизводящей цепочки: от производителя до торговых сетей. При выявлении нарушений УФАС НСО незамедлительно принимает меры по их устранению.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Государственное регулирование цен (тарифов) осуществляется в рамках действующего законодательства Российской Федерации.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2024 год тарифы на коммунальные ресурсы утверждены в установленный срок, с календарной разбивкой по полугодиям исходя из непревышения величины тарифов в первом полугодии 202</w:t>
      </w:r>
      <w:r>
        <w:rPr>
          <w:color w:val="000000" w:themeColor="text1"/>
          <w:sz w:val="28"/>
          <w:szCs w:val="28"/>
        </w:rPr>
        <w:t xml:space="preserve">4 года над величиной соответствующих тарифов, действующих по состоянию на 31 декабря 2023 года, с увеличением с 1 июля 2024 года. Таким образом, тарифы на поставляемые коммунальные ресурсы не изменялись 1,5 года.</w:t>
      </w:r>
      <w:r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среднем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рост цен (тарифов)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по Новосибир</w:t>
      </w:r>
      <w:r>
        <w:rPr>
          <w:color w:val="000000" w:themeColor="text1"/>
          <w:sz w:val="28"/>
          <w:szCs w:val="28"/>
        </w:rPr>
        <w:t xml:space="preserve">ской области </w:t>
      </w:r>
      <w:r>
        <w:rPr>
          <w:color w:val="000000" w:themeColor="text1"/>
          <w:sz w:val="28"/>
          <w:szCs w:val="28"/>
        </w:rPr>
        <w:t xml:space="preserve">в 2024 году по сравнению с 2023 годом </w:t>
      </w:r>
      <w:r>
        <w:rPr>
          <w:color w:val="000000" w:themeColor="text1"/>
          <w:sz w:val="28"/>
          <w:szCs w:val="28"/>
        </w:rPr>
        <w:t xml:space="preserve">составит</w:t>
      </w:r>
      <w:r>
        <w:rPr>
          <w:color w:val="000000" w:themeColor="text1"/>
          <w:sz w:val="28"/>
          <w:szCs w:val="28"/>
        </w:rPr>
        <w:t xml:space="preserve">: в сфере электроснабжения  </w:t>
      </w:r>
      <w:r>
        <w:rPr>
          <w:color w:val="000000" w:themeColor="text1"/>
          <w:sz w:val="28"/>
          <w:szCs w:val="28"/>
        </w:rPr>
        <w:t xml:space="preserve">городских населенных пунктов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108,9%; электроснабжения </w:t>
      </w:r>
      <w:r>
        <w:rPr>
          <w:color w:val="000000" w:themeColor="text1"/>
          <w:sz w:val="28"/>
          <w:szCs w:val="28"/>
        </w:rPr>
        <w:t xml:space="preserve">сельских населенных пунктов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109,3%;  газоснабжения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109,5%; теплоснабжения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109,48%; холодного водоснабжения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109,42%; горячего водоснабжения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110,6%; водоотведения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109,64%, что не превышает предельных уровней, установленных федеральным </w:t>
      </w:r>
      <w:r>
        <w:rPr>
          <w:color w:val="000000" w:themeColor="text1"/>
          <w:sz w:val="28"/>
          <w:szCs w:val="28"/>
        </w:rPr>
        <w:t xml:space="preserve">и региональным </w:t>
      </w:r>
      <w:r>
        <w:rPr>
          <w:color w:val="000000" w:themeColor="text1"/>
          <w:sz w:val="28"/>
          <w:szCs w:val="28"/>
        </w:rPr>
        <w:t xml:space="preserve">органами исполнительной власти в области государственного регулирования цен (тарифов).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Основные причины роста цен (тарифов) на </w:t>
      </w:r>
      <w:r>
        <w:rPr>
          <w:color w:val="000000" w:themeColor="text1"/>
          <w:sz w:val="28"/>
          <w:szCs w:val="28"/>
        </w:rPr>
        <w:t xml:space="preserve">коммунальные ресурсы</w:t>
      </w:r>
      <w:r>
        <w:rPr>
          <w:color w:val="000000" w:themeColor="text1"/>
          <w:sz w:val="28"/>
          <w:szCs w:val="28"/>
          <w:highlight w:val="none"/>
        </w:rPr>
        <w:t xml:space="preserve">: увеличение цен (тарифов) на энергоресурсы, материалы, реагенты; рост минимального размера оплаты тр</w:t>
      </w:r>
      <w:r>
        <w:rPr>
          <w:color w:val="000000" w:themeColor="text1"/>
          <w:sz w:val="28"/>
          <w:szCs w:val="28"/>
          <w:highlight w:val="none"/>
        </w:rPr>
        <w:t xml:space="preserve">уда;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индексация операционных расходов ресурсоснабжающих организаций, тарифы для которых установлены на долгосрочный период регулирования.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426" w:leader="none"/>
          <w:tab w:val="left" w:pos="709" w:leader="none"/>
        </w:tabs>
        <w:ind w:left="0" w:right="0"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Комиссия решила: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56"/>
        <w:tabs>
          <w:tab w:val="left" w:pos="426" w:leader="none"/>
          <w:tab w:val="left" w:pos="709" w:leader="none"/>
        </w:tabs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Инфор</w:t>
      </w:r>
      <w:r>
        <w:rPr>
          <w:color w:val="000000" w:themeColor="text1"/>
          <w:sz w:val="28"/>
          <w:szCs w:val="28"/>
        </w:rPr>
        <w:t xml:space="preserve">мацию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инистерства </w:t>
      </w:r>
      <w:r>
        <w:rPr>
          <w:color w:val="000000" w:themeColor="text1"/>
          <w:sz w:val="28"/>
          <w:szCs w:val="28"/>
        </w:rPr>
        <w:t xml:space="preserve">промышленности, торговли и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предпринимательства 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 и депар</w:t>
      </w:r>
      <w:r>
        <w:rPr>
          <w:color w:val="000000" w:themeColor="text1"/>
          <w:sz w:val="28"/>
          <w:szCs w:val="28"/>
        </w:rPr>
        <w:t xml:space="preserve">тамента по тарифам Новосибирской области принять к сведению.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tabs>
          <w:tab w:val="left" w:pos="426" w:leader="none"/>
          <w:tab w:val="left" w:pos="709" w:leader="none"/>
        </w:tabs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Министерству </w:t>
      </w:r>
      <w:r>
        <w:rPr>
          <w:color w:val="000000" w:themeColor="text1"/>
          <w:sz w:val="28"/>
          <w:szCs w:val="28"/>
        </w:rPr>
        <w:t xml:space="preserve">промышленности, торговли и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предпринимательства Новосибирской области</w:t>
      </w:r>
      <w:r>
        <w:rPr>
          <w:color w:val="000000" w:themeColor="text1"/>
          <w:sz w:val="28"/>
          <w:szCs w:val="28"/>
        </w:rPr>
        <w:t xml:space="preserve"> во взаимодействии с администрациями муниципальных районов и городских округов Новосибирской области, </w:t>
      </w:r>
      <w:r>
        <w:rPr>
          <w:color w:val="000000" w:themeColor="text1"/>
          <w:sz w:val="28"/>
          <w:szCs w:val="28"/>
        </w:rPr>
        <w:t xml:space="preserve">управлением Федеральной антимонопольной службы по Новосибирской области</w:t>
      </w:r>
      <w:r>
        <w:rPr>
          <w:color w:val="000000" w:themeColor="text1"/>
          <w:sz w:val="28"/>
          <w:szCs w:val="28"/>
        </w:rPr>
        <w:t xml:space="preserve"> продолжить реализацию мероприятий по недопущению необоснованного роста цен на продукты питания и горюче-смазочные материалы.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0" w:leader="none"/>
        </w:tabs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0" w:leader="none"/>
        </w:tabs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0" w:leader="none"/>
        </w:tabs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0" w:leader="none"/>
        </w:tabs>
        <w:ind w:left="0"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Координатор Комиссии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tabs>
          <w:tab w:val="left" w:pos="0" w:leader="none"/>
        </w:tabs>
        <w:ind w:left="0" w:righ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п</w:t>
      </w:r>
      <w:r>
        <w:rPr>
          <w:color w:val="000000" w:themeColor="text1"/>
          <w:sz w:val="28"/>
          <w:szCs w:val="28"/>
          <w:lang w:eastAsia="en-US"/>
        </w:rPr>
        <w:t xml:space="preserve">ервый заместитель Председателя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56"/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color w:val="000000" w:themeColor="text1"/>
          <w:sz w:val="28"/>
          <w:szCs w:val="28"/>
          <w:lang w:eastAsia="en-US"/>
        </w:rPr>
        <w:t xml:space="preserve">         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      </w:t>
      </w:r>
      <w:r>
        <w:rPr>
          <w:color w:val="000000" w:themeColor="text1"/>
          <w:sz w:val="28"/>
          <w:szCs w:val="28"/>
          <w:lang w:eastAsia="en-US"/>
        </w:rPr>
        <w:t xml:space="preserve">      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        </w:t>
      </w:r>
      <w:r>
        <w:rPr>
          <w:color w:val="000000" w:themeColor="text1"/>
          <w:sz w:val="28"/>
          <w:szCs w:val="28"/>
          <w:lang w:eastAsia="en-US"/>
        </w:rPr>
        <w:t xml:space="preserve">   </w:t>
      </w:r>
      <w:r>
        <w:rPr>
          <w:color w:val="000000" w:themeColor="text1"/>
          <w:sz w:val="28"/>
          <w:szCs w:val="28"/>
          <w:lang w:eastAsia="en-US"/>
        </w:rPr>
        <w:t xml:space="preserve">              В.М. </w:t>
      </w:r>
      <w:r>
        <w:rPr>
          <w:color w:val="000000" w:themeColor="text1"/>
          <w:sz w:val="28"/>
          <w:szCs w:val="28"/>
          <w:lang w:eastAsia="en-US"/>
        </w:rPr>
        <w:t xml:space="preserve">Знатков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6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ind w:left="720"/>
      <w:contextualSpacing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spacing w:after="57"/>
      <w:ind w:left="0" w:right="0" w:firstLine="0"/>
    </w:pPr>
  </w:style>
  <w:style w:type="paragraph" w:styleId="846">
    <w:name w:val="toc 2"/>
    <w:basedOn w:val="856"/>
    <w:next w:val="856"/>
    <w:uiPriority w:val="39"/>
    <w:unhideWhenUsed/>
    <w:pPr>
      <w:spacing w:after="57"/>
      <w:ind w:left="283" w:right="0" w:firstLine="0"/>
    </w:pPr>
  </w:style>
  <w:style w:type="paragraph" w:styleId="847">
    <w:name w:val="toc 3"/>
    <w:basedOn w:val="856"/>
    <w:next w:val="856"/>
    <w:uiPriority w:val="39"/>
    <w:unhideWhenUsed/>
    <w:pPr>
      <w:spacing w:after="57"/>
      <w:ind w:left="567" w:right="0" w:firstLine="0"/>
    </w:pPr>
  </w:style>
  <w:style w:type="paragraph" w:styleId="848">
    <w:name w:val="toc 4"/>
    <w:basedOn w:val="856"/>
    <w:next w:val="856"/>
    <w:uiPriority w:val="39"/>
    <w:unhideWhenUsed/>
    <w:pPr>
      <w:spacing w:after="57"/>
      <w:ind w:left="850" w:right="0" w:firstLine="0"/>
    </w:pPr>
  </w:style>
  <w:style w:type="paragraph" w:styleId="849">
    <w:name w:val="toc 5"/>
    <w:basedOn w:val="856"/>
    <w:next w:val="856"/>
    <w:uiPriority w:val="39"/>
    <w:unhideWhenUsed/>
    <w:pPr>
      <w:spacing w:after="57"/>
      <w:ind w:left="1134" w:right="0" w:firstLine="0"/>
    </w:pPr>
  </w:style>
  <w:style w:type="paragraph" w:styleId="850">
    <w:name w:val="toc 6"/>
    <w:basedOn w:val="856"/>
    <w:next w:val="856"/>
    <w:uiPriority w:val="39"/>
    <w:unhideWhenUsed/>
    <w:pPr>
      <w:spacing w:after="57"/>
      <w:ind w:left="1417" w:right="0" w:firstLine="0"/>
    </w:pPr>
  </w:style>
  <w:style w:type="paragraph" w:styleId="851">
    <w:name w:val="toc 7"/>
    <w:basedOn w:val="856"/>
    <w:next w:val="856"/>
    <w:uiPriority w:val="39"/>
    <w:unhideWhenUsed/>
    <w:pPr>
      <w:spacing w:after="57"/>
      <w:ind w:left="1701" w:right="0" w:firstLine="0"/>
    </w:pPr>
  </w:style>
  <w:style w:type="paragraph" w:styleId="852">
    <w:name w:val="toc 8"/>
    <w:basedOn w:val="856"/>
    <w:next w:val="856"/>
    <w:uiPriority w:val="39"/>
    <w:unhideWhenUsed/>
    <w:pPr>
      <w:spacing w:after="57"/>
      <w:ind w:left="1984" w:right="0" w:firstLine="0"/>
    </w:pPr>
  </w:style>
  <w:style w:type="paragraph" w:styleId="853">
    <w:name w:val="toc 9"/>
    <w:basedOn w:val="856"/>
    <w:next w:val="856"/>
    <w:uiPriority w:val="39"/>
    <w:unhideWhenUsed/>
    <w:pPr>
      <w:spacing w:after="57"/>
      <w:ind w:left="2268" w:right="0" w:firstLine="0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rFonts w:ascii="Times New Roman" w:hAnsi="Times New Roman" w:eastAsia="Times New Roman"/>
      <w:lang w:val="ru-RU" w:eastAsia="ru-RU" w:bidi="ar-SA"/>
    </w:rPr>
  </w:style>
  <w:style w:type="paragraph" w:styleId="857">
    <w:name w:val="Заголовок 4"/>
    <w:basedOn w:val="856"/>
    <w:next w:val="856"/>
    <w:link w:val="863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58">
    <w:name w:val="Основной шрифт абзаца"/>
    <w:next w:val="858"/>
    <w:link w:val="856"/>
    <w:uiPriority w:val="1"/>
    <w:semiHidden/>
    <w:unhideWhenUsed/>
  </w:style>
  <w:style w:type="table" w:styleId="859">
    <w:name w:val="Обычная таблица"/>
    <w:next w:val="859"/>
    <w:link w:val="856"/>
    <w:uiPriority w:val="99"/>
    <w:semiHidden/>
    <w:unhideWhenUsed/>
    <w:tblPr/>
  </w:style>
  <w:style w:type="numbering" w:styleId="860">
    <w:name w:val="Нет списка"/>
    <w:next w:val="860"/>
    <w:link w:val="856"/>
    <w:uiPriority w:val="99"/>
    <w:semiHidden/>
    <w:unhideWhenUsed/>
  </w:style>
  <w:style w:type="paragraph" w:styleId="861">
    <w:name w:val="Основной текст 2"/>
    <w:basedOn w:val="856"/>
    <w:next w:val="861"/>
    <w:link w:val="862"/>
    <w:pPr>
      <w:jc w:val="center"/>
    </w:pPr>
    <w:rPr>
      <w:sz w:val="28"/>
      <w:lang w:val="en-US" w:eastAsia="en-US"/>
    </w:rPr>
  </w:style>
  <w:style w:type="character" w:styleId="862">
    <w:name w:val="Основной текст 2 Знак"/>
    <w:next w:val="862"/>
    <w:link w:val="86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863">
    <w:name w:val="Заголовок 4 Знак"/>
    <w:next w:val="863"/>
    <w:link w:val="857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64">
    <w:name w:val="Текст выноски"/>
    <w:basedOn w:val="856"/>
    <w:next w:val="864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>
    <w:name w:val="Текст выноски Знак"/>
    <w:next w:val="865"/>
    <w:link w:val="8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6">
    <w:name w:val="Абзац списка"/>
    <w:basedOn w:val="856"/>
    <w:next w:val="866"/>
    <w:link w:val="856"/>
    <w:uiPriority w:val="34"/>
    <w:qFormat/>
    <w:pPr>
      <w:ind w:left="720"/>
      <w:contextualSpacing/>
    </w:pPr>
  </w:style>
  <w:style w:type="paragraph" w:styleId="867">
    <w:name w:val="Основной текст"/>
    <w:basedOn w:val="856"/>
    <w:next w:val="867"/>
    <w:link w:val="868"/>
    <w:uiPriority w:val="99"/>
    <w:unhideWhenUsed/>
    <w:pPr>
      <w:spacing w:after="120"/>
    </w:pPr>
  </w:style>
  <w:style w:type="character" w:styleId="868">
    <w:name w:val="Основной текст Знак"/>
    <w:next w:val="868"/>
    <w:link w:val="86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9">
    <w:name w:val="Верхний колонтитул"/>
    <w:basedOn w:val="856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Верхний колонтитул Знак"/>
    <w:next w:val="870"/>
    <w:link w:val="86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1">
    <w:name w:val="Нижний колонтитул"/>
    <w:basedOn w:val="856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Нижний колонтитул Знак"/>
    <w:next w:val="872"/>
    <w:link w:val="87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3">
    <w:name w:val="Без интервала"/>
    <w:next w:val="873"/>
    <w:link w:val="876"/>
    <w:uiPriority w:val="99"/>
    <w:qFormat/>
    <w:rPr>
      <w:rFonts w:ascii="Times New Roman" w:hAnsi="Times New Roman" w:eastAsia="Times New Roman"/>
      <w:lang w:val="ru-RU" w:eastAsia="ru-RU" w:bidi="ar-SA"/>
    </w:rPr>
  </w:style>
  <w:style w:type="paragraph" w:styleId="874">
    <w:name w:val="Знак"/>
    <w:basedOn w:val="856"/>
    <w:next w:val="874"/>
    <w:link w:val="856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875">
    <w:name w:val="rtejustify"/>
    <w:basedOn w:val="856"/>
    <w:next w:val="875"/>
    <w:link w:val="856"/>
    <w:pPr>
      <w:spacing w:before="100" w:beforeAutospacing="1" w:after="100" w:afterAutospacing="1"/>
    </w:pPr>
    <w:rPr>
      <w:sz w:val="24"/>
      <w:szCs w:val="24"/>
    </w:rPr>
  </w:style>
  <w:style w:type="character" w:styleId="876">
    <w:name w:val="Без интервала Знак"/>
    <w:next w:val="876"/>
    <w:link w:val="87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77">
    <w:name w:val="Сетка таблицы"/>
    <w:basedOn w:val="859"/>
    <w:next w:val="877"/>
    <w:link w:val="856"/>
    <w:uiPriority w:val="59"/>
    <w:pPr>
      <w:spacing w:after="0" w:line="240" w:lineRule="auto"/>
    </w:pPr>
    <w:tblPr/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revision>14</cp:revision>
  <dcterms:created xsi:type="dcterms:W3CDTF">2021-04-28T10:16:00Z</dcterms:created>
  <dcterms:modified xsi:type="dcterms:W3CDTF">2024-02-29T05:35:02Z</dcterms:modified>
  <cp:version>1048576</cp:version>
</cp:coreProperties>
</file>