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AF" w:rsidRDefault="006172AF">
      <w:pPr>
        <w:jc w:val="right"/>
        <w:rPr>
          <w:sz w:val="28"/>
          <w:szCs w:val="28"/>
        </w:rPr>
      </w:pPr>
      <w:bookmarkStart w:id="0" w:name="_GoBack"/>
      <w:bookmarkEnd w:id="0"/>
    </w:p>
    <w:p w:rsidR="006172AF" w:rsidRDefault="00E04D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6172AF" w:rsidRDefault="00E04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6172AF" w:rsidRDefault="00E04D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6172AF" w:rsidRDefault="006172AF">
      <w:pPr>
        <w:jc w:val="center"/>
        <w:rPr>
          <w:b/>
          <w:sz w:val="28"/>
          <w:szCs w:val="28"/>
        </w:rPr>
      </w:pPr>
    </w:p>
    <w:p w:rsidR="006172AF" w:rsidRDefault="00E04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72AF" w:rsidRDefault="006172A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131"/>
      </w:tblGrid>
      <w:tr w:rsidR="006172AF"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72AF" w:rsidRDefault="00E04D1C">
            <w:pPr>
              <w:keepNext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28.11.202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72AF" w:rsidRDefault="00E04D1C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72AF" w:rsidRDefault="00E04D1C">
            <w:pPr>
              <w:keepNext/>
              <w:widowControl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5/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6172AF" w:rsidRDefault="006172AF">
      <w:pPr>
        <w:keepNext/>
        <w:widowControl w:val="0"/>
        <w:rPr>
          <w:sz w:val="28"/>
          <w:szCs w:val="28"/>
        </w:rPr>
      </w:pPr>
    </w:p>
    <w:p w:rsidR="006172AF" w:rsidRDefault="006172AF">
      <w:pPr>
        <w:keepNext/>
        <w:widowControl w:val="0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204"/>
        <w:gridCol w:w="3719"/>
      </w:tblGrid>
      <w:tr w:rsidR="006172AF"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72AF" w:rsidRDefault="00E04D1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выполнении указов Президента Российской Федерации в части достижения целевых показателей по заработной плате работников бюджетной сферы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72AF" w:rsidRDefault="006172AF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6172AF" w:rsidRDefault="006172AF">
      <w:pPr>
        <w:jc w:val="both"/>
        <w:rPr>
          <w:sz w:val="28"/>
          <w:szCs w:val="28"/>
        </w:rPr>
      </w:pPr>
    </w:p>
    <w:p w:rsidR="006172AF" w:rsidRDefault="00E04D1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Заслушав информацию министерства труда и социального развития Новосибирской области, Новосибирская областная трехсторонняя комиссия по регулированию социально-трудовых отношений (далее – Комиссия) отмечает, что в 2024 году осуществлялась работа по недопуще</w:t>
      </w:r>
      <w:r>
        <w:rPr>
          <w:color w:val="000000" w:themeColor="text1"/>
          <w:sz w:val="28"/>
          <w:szCs w:val="28"/>
        </w:rPr>
        <w:t xml:space="preserve">нию снижения установленных </w:t>
      </w:r>
      <w:r>
        <w:rPr>
          <w:sz w:val="28"/>
          <w:szCs w:val="28"/>
        </w:rPr>
        <w:t>указами Президента Российской Федерации от 07.05.2012 № 597, от 01.06.2012 № 761, от 28.12.2012 № 1688</w:t>
      </w:r>
      <w:r>
        <w:rPr>
          <w:color w:val="000000" w:themeColor="text1"/>
          <w:sz w:val="28"/>
          <w:szCs w:val="28"/>
        </w:rPr>
        <w:t xml:space="preserve"> (далее – Указы Президента Российской Федерации) целевых показателей повышения оплаты труда отдельных категорий работников бюдж</w:t>
      </w:r>
      <w:r>
        <w:rPr>
          <w:color w:val="000000" w:themeColor="text1"/>
          <w:sz w:val="28"/>
          <w:szCs w:val="28"/>
        </w:rPr>
        <w:t xml:space="preserve">етной сферы. </w:t>
      </w:r>
    </w:p>
    <w:p w:rsidR="006172AF" w:rsidRDefault="00E04D1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Проводятся на регулярной основе мониторинги оплаты труда отдельных категорий работников бюджетной сферы: ежемесячно – по оперативным сведениям областных исполнительных органов Новосибирской области; ежеквартально – на основании сведений, опуб</w:t>
      </w:r>
      <w:r>
        <w:rPr>
          <w:color w:val="000000" w:themeColor="text1"/>
          <w:sz w:val="28"/>
          <w:szCs w:val="28"/>
        </w:rPr>
        <w:t>ликованных Росстатом.</w:t>
      </w:r>
    </w:p>
    <w:p w:rsidR="006172AF" w:rsidRDefault="00E04D1C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Сведения о численности и оплате труда работников социальной сферы и науки Новосибирской области за январь – сентябрь 2024 года Росстатом будут опубликованы позднее. </w:t>
      </w:r>
      <w:r>
        <w:rPr>
          <w:color w:val="000000" w:themeColor="text1"/>
          <w:sz w:val="28"/>
          <w:szCs w:val="28"/>
          <w:highlight w:val="white"/>
        </w:rPr>
        <w:t>По оперативным сведениям областных исполнительных органов Новосибирск</w:t>
      </w:r>
      <w:r>
        <w:rPr>
          <w:color w:val="000000" w:themeColor="text1"/>
          <w:sz w:val="28"/>
          <w:szCs w:val="28"/>
          <w:highlight w:val="white"/>
        </w:rPr>
        <w:t xml:space="preserve">ой области за январь – октябрь 2024 года целевые показатели повышения оплаты труда отдельных категорий работников бюджетной сферы на 2024 год достигнуты по 5 категориям работников из 11. </w:t>
      </w:r>
      <w:r>
        <w:rPr>
          <w:sz w:val="28"/>
          <w:szCs w:val="28"/>
          <w:highlight w:val="white"/>
        </w:rPr>
        <w:t>По 5 категориям работников отклонение составило менее допустимых 5 пр</w:t>
      </w:r>
      <w:r>
        <w:rPr>
          <w:sz w:val="28"/>
          <w:szCs w:val="28"/>
          <w:highlight w:val="white"/>
        </w:rPr>
        <w:t>оцентных пунктов.</w:t>
      </w:r>
    </w:p>
    <w:p w:rsidR="006172AF" w:rsidRDefault="00E04D1C">
      <w:pPr>
        <w:ind w:firstLine="709"/>
        <w:jc w:val="both"/>
      </w:pPr>
      <w:r>
        <w:rPr>
          <w:color w:val="000000" w:themeColor="text1"/>
          <w:sz w:val="28"/>
          <w:szCs w:val="28"/>
        </w:rPr>
        <w:t>В 2024 году разрезервирование бюджетных ассигнований на указанные цели осуществляется по мере уточнения оценочного значения среднемесячного дохода от трудовой деятельности на 2024 год в соответствии с Порядком использования в 2024 году бю</w:t>
      </w:r>
      <w:r>
        <w:rPr>
          <w:color w:val="000000" w:themeColor="text1"/>
          <w:sz w:val="28"/>
          <w:szCs w:val="28"/>
        </w:rPr>
        <w:t>джетных ассигнований, предусмотренных в целях сохранения достигнутого в 2018 году соотношения между уровнем оплаты труда отдельных категорий работников бюджетной сферы, поименованных в отдельных Указах Президента Российской Федерации, и среднемесячной начи</w:t>
      </w:r>
      <w:r>
        <w:rPr>
          <w:color w:val="000000" w:themeColor="text1"/>
          <w:sz w:val="28"/>
          <w:szCs w:val="28"/>
        </w:rPr>
        <w:t>сленной заработной платой наемных работников в организациях, у индивидуальных предпринимателей и физических лиц по Новосибирской области, утвержденным постановлением Правительства Новосибирской области от 30.01.2024 № 19-п.</w:t>
      </w:r>
    </w:p>
    <w:p w:rsidR="006172AF" w:rsidRDefault="00E04D1C">
      <w:pPr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>В Новосибирской области значение</w:t>
      </w:r>
      <w:r>
        <w:rPr>
          <w:color w:val="000000" w:themeColor="text1"/>
          <w:sz w:val="28"/>
          <w:szCs w:val="28"/>
        </w:rPr>
        <w:t xml:space="preserve"> среднемесячного дохода от трудовой деятельности, используемое для планирования расходов консолидированного бюджета Новосибирской области на выполнение Указов Президента Российской Федерации, определяется исходя из ожидаемой динамики среднемесячной номинал</w:t>
      </w:r>
      <w:r>
        <w:rPr>
          <w:color w:val="000000" w:themeColor="text1"/>
          <w:sz w:val="28"/>
          <w:szCs w:val="28"/>
        </w:rPr>
        <w:t>ьной начисленной заработной платы (далее – среднемесячная заработная плата) работников организаций.</w:t>
      </w:r>
    </w:p>
    <w:p w:rsidR="006172AF" w:rsidRDefault="00E04D1C">
      <w:pPr>
        <w:ind w:firstLine="709"/>
        <w:jc w:val="both"/>
      </w:pPr>
      <w:r>
        <w:rPr>
          <w:color w:val="000000" w:themeColor="text1"/>
          <w:sz w:val="28"/>
          <w:szCs w:val="28"/>
        </w:rPr>
        <w:t>В соответствии с постановлением Правительства Новосибирской области от 27.12.2017 № 480-п «Об использовании показателя среднемесячной начисленной заработной</w:t>
      </w:r>
      <w:r>
        <w:rPr>
          <w:color w:val="000000" w:themeColor="text1"/>
          <w:sz w:val="28"/>
          <w:szCs w:val="28"/>
        </w:rPr>
        <w:t xml:space="preserve"> платы наемных работников в организациях, у индивидуальных предпринимателей и физических лиц (среднемесячного дохода от трудовой деятельности) по Новосибирской области» с начала текущего года оценочное значение среднемесячного дохода от трудовой деятельнос</w:t>
      </w:r>
      <w:r>
        <w:rPr>
          <w:color w:val="000000" w:themeColor="text1"/>
          <w:sz w:val="28"/>
          <w:szCs w:val="28"/>
        </w:rPr>
        <w:t>ти на 2024 год корректировалось дважды:</w:t>
      </w:r>
    </w:p>
    <w:p w:rsidR="006172AF" w:rsidRDefault="00E04D1C">
      <w:pPr>
        <w:ind w:firstLine="709"/>
        <w:jc w:val="both"/>
      </w:pPr>
      <w:r>
        <w:rPr>
          <w:color w:val="000000" w:themeColor="text1"/>
          <w:sz w:val="28"/>
          <w:szCs w:val="28"/>
        </w:rPr>
        <w:t>в апреле – в размере 59176 рублей на основе фактически сложившейся его величины за 2023 год (53408 руб.) и темпа роста среднемесячной заработной платы в Новосибирской области на 2024 год (110,8%) (в соответствии с пр</w:t>
      </w:r>
      <w:r>
        <w:rPr>
          <w:color w:val="000000" w:themeColor="text1"/>
          <w:sz w:val="28"/>
          <w:szCs w:val="28"/>
        </w:rPr>
        <w:t>огнозом социально-экономического развития Новосибирской области на 2024 год и плановый период 2025 и 2026 годов, одобренным распоряжением Правительства Новосибирской области от 23.10.2023 № 731-рп);</w:t>
      </w:r>
    </w:p>
    <w:p w:rsidR="006172AF" w:rsidRDefault="00E04D1C">
      <w:pPr>
        <w:ind w:firstLine="709"/>
        <w:jc w:val="both"/>
      </w:pPr>
      <w:r>
        <w:rPr>
          <w:color w:val="000000" w:themeColor="text1"/>
          <w:sz w:val="28"/>
          <w:szCs w:val="28"/>
        </w:rPr>
        <w:t>в июне – в размере 62060 рублей с учетом уточнения ожидае</w:t>
      </w:r>
      <w:r>
        <w:rPr>
          <w:color w:val="000000" w:themeColor="text1"/>
          <w:sz w:val="28"/>
          <w:szCs w:val="28"/>
        </w:rPr>
        <w:t xml:space="preserve">мого в 2024 году темпа роста среднемесячной заработной платы работников организаций (116,2%), одобренного 10 июня 2024 года Правительством Новосибирской области в основных параметрах прогноза социально-экономического развития Новосибирской области на 2025 </w:t>
      </w:r>
      <w:r>
        <w:rPr>
          <w:color w:val="000000" w:themeColor="text1"/>
          <w:sz w:val="28"/>
          <w:szCs w:val="28"/>
        </w:rPr>
        <w:t>год и плановый период 2026 и 2027 годов. Ожидаемый в 2024 году темп роста среднемесячной заработной платы в размере 116,2% подтвержден в прогнозе социально-экономического развития Новосибирской области на 2025 год и плановый период 2026 и 2027 годов, одобр</w:t>
      </w:r>
      <w:r>
        <w:rPr>
          <w:color w:val="000000" w:themeColor="text1"/>
          <w:sz w:val="28"/>
          <w:szCs w:val="28"/>
        </w:rPr>
        <w:t>енном распоряжением Правительства Новосибирской области от 21.10.2024 № 535-рп.</w:t>
      </w:r>
    </w:p>
    <w:p w:rsidR="006172AF" w:rsidRDefault="00E04D1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средства на повышение оплаты труда «указных» категорий работников бюджетной сферы предусмотрены Законом Новосибирской области от 21.12.2023 № 413-ОЗ «Об облас</w:t>
      </w:r>
      <w:r>
        <w:rPr>
          <w:color w:val="000000" w:themeColor="text1"/>
          <w:sz w:val="28"/>
          <w:szCs w:val="28"/>
        </w:rPr>
        <w:t>тном бюджете Новосибирской области на 2024 год и плановый период 2025 и 2026 годов» в полном объеме исходя из оценочного значения среднемесячного дохода от трудовой деятельности в размере 62060 рублей.</w:t>
      </w:r>
    </w:p>
    <w:p w:rsidR="006172AF" w:rsidRDefault="00E04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достижения целевых показателей опл</w:t>
      </w:r>
      <w:r>
        <w:rPr>
          <w:sz w:val="28"/>
          <w:szCs w:val="28"/>
        </w:rPr>
        <w:t>аты труда отдельных категорий работников бюджетной сферы, определенных Указами Президента Российской Федерации, Комиссия решила:</w:t>
      </w:r>
    </w:p>
    <w:p w:rsidR="006172AF" w:rsidRDefault="00E04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Рекомендовать министерству труда и социального развития Новосибирской области, министерству здравоохранения Новосибирской об</w:t>
      </w:r>
      <w:r>
        <w:rPr>
          <w:sz w:val="28"/>
          <w:szCs w:val="28"/>
        </w:rPr>
        <w:t>ласти, министерству образования Новосибирской области, министерству культуры Новосибирской области, министерству физической культуры и спорта Новосибирской области, главам муниципальных районов и городских округов Новосибирской области:</w:t>
      </w:r>
    </w:p>
    <w:p w:rsidR="006172AF" w:rsidRDefault="00E04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продолжить мероп</w:t>
      </w:r>
      <w:r>
        <w:rPr>
          <w:sz w:val="28"/>
          <w:szCs w:val="28"/>
        </w:rPr>
        <w:t xml:space="preserve">риятия по обеспечению безусловного достижения целевых показателей повышения оплаты труда отдельных категорий работников подведомственных </w:t>
      </w:r>
      <w:r>
        <w:rPr>
          <w:color w:val="000000"/>
          <w:sz w:val="28"/>
          <w:szCs w:val="28"/>
          <w:highlight w:val="white"/>
        </w:rPr>
        <w:t xml:space="preserve">государственных и муниципальных учреждений </w:t>
      </w:r>
      <w:r>
        <w:rPr>
          <w:color w:val="000000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по итогам 2024 года;</w:t>
      </w:r>
    </w:p>
    <w:p w:rsidR="006172AF" w:rsidRDefault="00E04D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усилить контроль за качеством и </w:t>
      </w:r>
      <w:r>
        <w:rPr>
          <w:color w:val="000000"/>
          <w:sz w:val="28"/>
          <w:szCs w:val="28"/>
          <w:highlight w:val="white"/>
        </w:rPr>
        <w:t xml:space="preserve">достоверностью сведений о численности и оплате труда отдельных категорий работников, </w:t>
      </w:r>
      <w:r>
        <w:rPr>
          <w:color w:val="000000"/>
          <w:sz w:val="28"/>
          <w:szCs w:val="28"/>
        </w:rPr>
        <w:t xml:space="preserve">определенных </w:t>
      </w:r>
      <w:r>
        <w:rPr>
          <w:sz w:val="28"/>
          <w:szCs w:val="28"/>
        </w:rPr>
        <w:t xml:space="preserve">Указами Президента Российской Федерации, </w:t>
      </w:r>
      <w:r>
        <w:rPr>
          <w:color w:val="000000"/>
          <w:sz w:val="28"/>
          <w:szCs w:val="28"/>
          <w:highlight w:val="white"/>
        </w:rPr>
        <w:t xml:space="preserve">представляемых государственными и муниципальными учреждениям </w:t>
      </w: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 Территориальный орган Федеральной службы государственной статистики по Новосибирской области.</w:t>
      </w:r>
    </w:p>
    <w:p w:rsidR="006172AF" w:rsidRDefault="00E04D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Рекомендовать министерству финансов и налоговой политики Новосибирской области своевременно осуществлять оценку достаточности средств консолидированного бюд</w:t>
      </w:r>
      <w:r>
        <w:rPr>
          <w:color w:val="000000"/>
          <w:sz w:val="28"/>
          <w:szCs w:val="28"/>
        </w:rPr>
        <w:t>жета Новосибирской области на выполнение Указов Президента Российской Федерации в части оплаты труда работников бюджетной сферы.</w:t>
      </w:r>
      <w:bookmarkStart w:id="1" w:name="undefined"/>
      <w:bookmarkEnd w:id="1"/>
    </w:p>
    <w:p w:rsidR="006172AF" w:rsidRDefault="00E04D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Рекомендовать министерству труда и социального развития Новосибирской области совместно с Новосибирской областной организаци</w:t>
      </w:r>
      <w:r>
        <w:rPr>
          <w:color w:val="000000"/>
          <w:sz w:val="28"/>
          <w:szCs w:val="28"/>
        </w:rPr>
        <w:t>ей Общероссийского Профессионального союза работников государственных учреждений и общественного обслуживания Российской Федерации провести анализ использования показателя нагрузки (количество обслуживаемых на одного работника) для определения размера зара</w:t>
      </w:r>
      <w:r>
        <w:rPr>
          <w:color w:val="000000"/>
          <w:sz w:val="28"/>
          <w:szCs w:val="28"/>
        </w:rPr>
        <w:t>ботной платы социальных работников и специалистов по социальной работе комплексных центров социального обслуживания населения Новосибирской области, проинформировать Комиссию о результатах на следующем заседании.</w:t>
      </w:r>
    </w:p>
    <w:p w:rsidR="006172AF" w:rsidRDefault="006172AF">
      <w:pPr>
        <w:pStyle w:val="afb"/>
        <w:rPr>
          <w:color w:val="000000" w:themeColor="text1"/>
          <w:sz w:val="28"/>
          <w:szCs w:val="28"/>
          <w:highlight w:val="yellow"/>
        </w:rPr>
      </w:pPr>
    </w:p>
    <w:p w:rsidR="006172AF" w:rsidRDefault="006172AF">
      <w:pPr>
        <w:pStyle w:val="afb"/>
        <w:rPr>
          <w:sz w:val="28"/>
          <w:szCs w:val="28"/>
        </w:rPr>
      </w:pPr>
    </w:p>
    <w:p w:rsidR="006172AF" w:rsidRDefault="006172AF">
      <w:pPr>
        <w:pStyle w:val="afb"/>
        <w:rPr>
          <w:sz w:val="28"/>
          <w:szCs w:val="28"/>
        </w:rPr>
      </w:pPr>
    </w:p>
    <w:p w:rsidR="006172AF" w:rsidRDefault="00E04D1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6172AF" w:rsidRDefault="00E04D1C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</w:t>
      </w:r>
      <w:r>
        <w:rPr>
          <w:sz w:val="28"/>
          <w:szCs w:val="28"/>
          <w:lang w:eastAsia="en-US"/>
        </w:rPr>
        <w:t xml:space="preserve"> заместитель Председателя</w:t>
      </w:r>
    </w:p>
    <w:p w:rsidR="006172AF" w:rsidRDefault="00E04D1C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Правительства Новосибирской области                                                   В.М. Знатков</w:t>
      </w:r>
    </w:p>
    <w:sectPr w:rsidR="006172AF">
      <w:headerReference w:type="even" r:id="rId7"/>
      <w:headerReference w:type="default" r:id="rId8"/>
      <w:pgSz w:w="11906" w:h="16838"/>
      <w:pgMar w:top="1134" w:right="567" w:bottom="1134" w:left="1418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1C" w:rsidRDefault="00E04D1C">
      <w:r>
        <w:separator/>
      </w:r>
    </w:p>
  </w:endnote>
  <w:endnote w:type="continuationSeparator" w:id="0">
    <w:p w:rsidR="00E04D1C" w:rsidRDefault="00E0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1C" w:rsidRDefault="00E04D1C">
      <w:r>
        <w:separator/>
      </w:r>
    </w:p>
  </w:footnote>
  <w:footnote w:type="continuationSeparator" w:id="0">
    <w:p w:rsidR="00E04D1C" w:rsidRDefault="00E0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AF" w:rsidRDefault="00E04D1C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172AF" w:rsidRDefault="006172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AF" w:rsidRDefault="00E04D1C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E75E5">
      <w:rPr>
        <w:rStyle w:val="afc"/>
        <w:noProof/>
      </w:rPr>
      <w:t>2</w:t>
    </w:r>
    <w:r>
      <w:rPr>
        <w:rStyle w:val="afc"/>
      </w:rPr>
      <w:fldChar w:fldCharType="end"/>
    </w:r>
  </w:p>
  <w:p w:rsidR="006172AF" w:rsidRDefault="006172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D7F"/>
    <w:multiLevelType w:val="hybridMultilevel"/>
    <w:tmpl w:val="56987DA4"/>
    <w:lvl w:ilvl="0" w:tplc="67A80D2E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B121E4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FB2FC5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D9403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2732F22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BE00A85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C12010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70887D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C62DDF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B7A65F6"/>
    <w:multiLevelType w:val="hybridMultilevel"/>
    <w:tmpl w:val="C81EBF90"/>
    <w:lvl w:ilvl="0" w:tplc="70D65312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63B82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AB7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C00E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07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E6B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E01B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8CC3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6C4E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A095592"/>
    <w:multiLevelType w:val="hybridMultilevel"/>
    <w:tmpl w:val="EDCC36AE"/>
    <w:lvl w:ilvl="0" w:tplc="23DAAA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3F828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FEA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8EC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A69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AFC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D84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1C1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3A86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0E13B8A"/>
    <w:multiLevelType w:val="hybridMultilevel"/>
    <w:tmpl w:val="94E48B30"/>
    <w:lvl w:ilvl="0" w:tplc="5C3E4F6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 w:tplc="C292DD06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 w:tplc="B596EB78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1FD0E72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4B7A057A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 w:tplc="6250336E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5DEE10B8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B184C916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 w:tplc="E8B4C6E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F"/>
    <w:rsid w:val="003E75E5"/>
    <w:rsid w:val="006172AF"/>
    <w:rsid w:val="00E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02EE2-3F29-456A-ACB0-BEEF2407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center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6"/>
    </w:rPr>
  </w:style>
  <w:style w:type="paragraph" w:styleId="af9">
    <w:name w:val="Body Text"/>
    <w:basedOn w:val="a"/>
    <w:link w:val="af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firstLine="709"/>
      <w:jc w:val="both"/>
    </w:pPr>
    <w:rPr>
      <w:sz w:val="28"/>
    </w:rPr>
  </w:style>
  <w:style w:type="paragraph" w:styleId="afe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aff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link w:val="af9"/>
    <w:rPr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Карпова Людмила  Александровна</cp:lastModifiedBy>
  <cp:revision>2</cp:revision>
  <dcterms:created xsi:type="dcterms:W3CDTF">2024-12-09T08:01:00Z</dcterms:created>
  <dcterms:modified xsi:type="dcterms:W3CDTF">2024-12-09T08:01:00Z</dcterms:modified>
  <cp:version>917504</cp:version>
</cp:coreProperties>
</file>