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99" w:rsidRDefault="00B85499">
      <w:pPr>
        <w:tabs>
          <w:tab w:val="left" w:pos="2895"/>
        </w:tabs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B85499" w:rsidRDefault="002643EC">
      <w:pPr>
        <w:tabs>
          <w:tab w:val="left" w:pos="289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НОВОСИБИРСКАЯ ОБЛАСТНАЯ</w:t>
      </w:r>
    </w:p>
    <w:p w:rsidR="00B85499" w:rsidRDefault="00264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ТРЕХСТОРОННЯЯ КОМИССИЯ ПО РЕГУЛИРОВАНИЮ</w:t>
      </w:r>
    </w:p>
    <w:p w:rsidR="00B85499" w:rsidRDefault="00264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СОЦИАЛЬНО-ТРУДОВЫХ ОТНОШЕНИЙ</w:t>
      </w:r>
    </w:p>
    <w:p w:rsidR="00B85499" w:rsidRDefault="00B854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5499" w:rsidRDefault="00264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B85499" w:rsidRDefault="00B854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5499" w:rsidRDefault="00B854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 w:rsidR="00B85499">
        <w:tc>
          <w:tcPr>
            <w:tcW w:w="3379" w:type="dxa"/>
            <w:shd w:val="clear" w:color="auto" w:fill="auto"/>
          </w:tcPr>
          <w:p w:rsidR="00B85499" w:rsidRDefault="002643EC">
            <w:pPr>
              <w:keepNext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17.07.2024</w:t>
            </w:r>
          </w:p>
        </w:tc>
        <w:tc>
          <w:tcPr>
            <w:tcW w:w="3379" w:type="dxa"/>
            <w:shd w:val="clear" w:color="auto" w:fill="auto"/>
          </w:tcPr>
          <w:p w:rsidR="00B85499" w:rsidRDefault="002643EC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 Новосибирск</w:t>
            </w:r>
          </w:p>
        </w:tc>
        <w:tc>
          <w:tcPr>
            <w:tcW w:w="3273" w:type="dxa"/>
            <w:shd w:val="clear" w:color="auto" w:fill="auto"/>
          </w:tcPr>
          <w:p w:rsidR="00B85499" w:rsidRDefault="002643EC">
            <w:pPr>
              <w:keepNext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 3/3</w:t>
            </w:r>
          </w:p>
        </w:tc>
      </w:tr>
    </w:tbl>
    <w:p w:rsidR="00B85499" w:rsidRDefault="00B854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5499" w:rsidRDefault="00B854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663"/>
        <w:gridCol w:w="3368"/>
      </w:tblGrid>
      <w:tr w:rsidR="00B85499">
        <w:tc>
          <w:tcPr>
            <w:tcW w:w="6663" w:type="dxa"/>
            <w:shd w:val="clear" w:color="auto" w:fill="auto"/>
          </w:tcPr>
          <w:p w:rsidR="00B85499" w:rsidRDefault="002643EC">
            <w:pPr>
              <w:pStyle w:val="26"/>
              <w:shd w:val="clear" w:color="auto" w:fill="auto"/>
              <w:spacing w:before="0" w:after="0" w:line="240" w:lineRule="auto"/>
              <w:rPr>
                <w:color w:val="auto"/>
              </w:rPr>
            </w:pPr>
            <w:r>
              <w:rPr>
                <w:color w:val="000000" w:themeColor="text1"/>
              </w:rPr>
              <w:t>О причинах производственного травматизма и мерах по его профилактике в строительных организациях и организациях транспорта Новосибирской области</w:t>
            </w:r>
          </w:p>
        </w:tc>
        <w:tc>
          <w:tcPr>
            <w:tcW w:w="3368" w:type="dxa"/>
            <w:shd w:val="clear" w:color="auto" w:fill="auto"/>
          </w:tcPr>
          <w:p w:rsidR="00B85499" w:rsidRDefault="00B85499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85499" w:rsidRDefault="00B85499">
      <w:pPr>
        <w:pStyle w:val="26"/>
        <w:shd w:val="clear" w:color="auto" w:fill="auto"/>
        <w:spacing w:before="0" w:after="0" w:line="240" w:lineRule="auto"/>
      </w:pPr>
    </w:p>
    <w:p w:rsidR="00B85499" w:rsidRDefault="00B85499">
      <w:pPr>
        <w:pStyle w:val="26"/>
        <w:shd w:val="clear" w:color="auto" w:fill="auto"/>
        <w:spacing w:before="0" w:after="0" w:line="240" w:lineRule="auto"/>
      </w:pPr>
    </w:p>
    <w:p w:rsidR="00B85499" w:rsidRDefault="002643EC">
      <w:pPr>
        <w:pStyle w:val="26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>
        <w:t xml:space="preserve">Заслушав информацию о </w:t>
      </w:r>
      <w:r>
        <w:rPr>
          <w:color w:val="000000" w:themeColor="text1"/>
        </w:rPr>
        <w:t>причинах производственного травматизма и мерах по его профилактике в строительных орг</w:t>
      </w:r>
      <w:r>
        <w:rPr>
          <w:color w:val="000000" w:themeColor="text1"/>
        </w:rPr>
        <w:t>анизациях и организациях транспорта Новосибирской области</w:t>
      </w:r>
      <w:r>
        <w:t>, Новосибирская областная трехсторонняя комиссия по регулированию социально-трудовых отношений (далее – Комиссия) отмечает, что ситуация остается неблагополучной и требует принятия дополнительных мер</w:t>
      </w:r>
      <w:r>
        <w:t xml:space="preserve"> по предотвращению несчастных случаев на производстве. Так, в 2023 году в организациях </w:t>
      </w:r>
      <w:r>
        <w:rPr>
          <w:color w:val="000000" w:themeColor="text1"/>
        </w:rPr>
        <w:t>строительства и транспорта</w:t>
      </w:r>
      <w:r>
        <w:t xml:space="preserve"> произошло 39 несчастных случаев (21 – в транспортной сфере, 18 – в строительной сфере), это 38% всех несчастных случаев с тяжелыми последствия</w:t>
      </w:r>
      <w:r>
        <w:t>ми, связанных с производством.</w:t>
      </w:r>
    </w:p>
    <w:p w:rsidR="00B85499" w:rsidRDefault="002643EC">
      <w:pPr>
        <w:pStyle w:val="26"/>
        <w:shd w:val="clear" w:color="auto" w:fill="auto"/>
        <w:tabs>
          <w:tab w:val="left" w:pos="7758"/>
        </w:tabs>
        <w:spacing w:before="0" w:after="0" w:line="240" w:lineRule="auto"/>
        <w:ind w:firstLine="740"/>
        <w:rPr>
          <w:highlight w:val="white"/>
        </w:rPr>
      </w:pPr>
      <w:r>
        <w:t>В январе-мае 2024 года наибольшее количество зарегистрированных несчастных случаев с тяжелыми последствиями, связанных с производством, при</w:t>
      </w:r>
      <w:r>
        <w:rPr>
          <w:highlight w:val="white"/>
        </w:rPr>
        <w:t>ходится на сферу строительства – 6 несчастных случаев, из них 2 со смертельным исходом</w:t>
      </w:r>
      <w:r>
        <w:rPr>
          <w:highlight w:val="white"/>
        </w:rPr>
        <w:t>. Основные причины несчастных случаев: неудовлетворительная организация производства работ, неудовлетворительное содержание и недостатки в организации рабочих мест, нарушение технологического процесса, эксплуатация неисправных машин, неприменение средств и</w:t>
      </w:r>
      <w:r>
        <w:rPr>
          <w:highlight w:val="white"/>
        </w:rPr>
        <w:t>ндивидуальной защиты.</w:t>
      </w:r>
    </w:p>
    <w:p w:rsidR="00B85499" w:rsidRDefault="002643EC">
      <w:pPr>
        <w:pStyle w:val="26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>
        <w:rPr>
          <w:highlight w:val="white"/>
        </w:rPr>
        <w:t xml:space="preserve">В транспортной сфере зарегистрировано 4 несчастных случая, связанных с производством (1 групповой, 1 тяжелый, 2 смертельных). Несчастные случаи </w:t>
      </w:r>
      <w:r>
        <w:t xml:space="preserve">в </w:t>
      </w:r>
      <w:proofErr w:type="gramStart"/>
      <w:r>
        <w:t>сфере</w:t>
      </w:r>
      <w:proofErr w:type="gramEnd"/>
      <w:r>
        <w:t xml:space="preserve"> транспорта произошли по причинам: нарушения требований безопасности при эксплуатац</w:t>
      </w:r>
      <w:r>
        <w:t>ии транспортных средств, нарушения правил дорожного движения, неудовлетворительное содержание рабочего места.</w:t>
      </w:r>
    </w:p>
    <w:p w:rsidR="00B85499" w:rsidRDefault="002643EC">
      <w:pPr>
        <w:pStyle w:val="26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>
        <w:t>Основными видами происшедших в транспортной и строительной сферах несчастных случаев являются:</w:t>
      </w:r>
      <w:r>
        <w:rPr>
          <w:rFonts w:eastAsiaTheme="minorHAnsi"/>
          <w:lang w:eastAsia="en-US"/>
        </w:rPr>
        <w:t xml:space="preserve"> падение с высоты, обрушение предметов, воздействие </w:t>
      </w:r>
      <w:r>
        <w:rPr>
          <w:rFonts w:eastAsiaTheme="minorHAnsi"/>
          <w:lang w:eastAsia="en-US"/>
        </w:rPr>
        <w:t>разлетающихся предметов, воздействие дыма, огня и пламени, дорожно-транспортные происшествия</w:t>
      </w:r>
      <w:r>
        <w:t xml:space="preserve">, воздействие электрического тока. </w:t>
      </w:r>
    </w:p>
    <w:p w:rsidR="00B85499" w:rsidRDefault="002643EC">
      <w:pPr>
        <w:pStyle w:val="26"/>
        <w:shd w:val="clear" w:color="auto" w:fill="auto"/>
        <w:spacing w:before="0" w:after="0" w:line="240" w:lineRule="auto"/>
        <w:ind w:firstLine="740"/>
      </w:pPr>
      <w:r>
        <w:t>За 5 месяцев текущего года Государственной инспекцией труда в Новосибирской области вынесено</w:t>
      </w:r>
      <w:r>
        <w:t xml:space="preserve"> 11 предписаний за нарушения трудово</w:t>
      </w:r>
      <w:r>
        <w:t xml:space="preserve">го </w:t>
      </w:r>
      <w:r>
        <w:lastRenderedPageBreak/>
        <w:t>законодательства, отстранены от работы 80 работников.</w:t>
      </w:r>
    </w:p>
    <w:p w:rsidR="00B85499" w:rsidRDefault="002643EC">
      <w:pPr>
        <w:pStyle w:val="26"/>
        <w:shd w:val="clear" w:color="auto" w:fill="auto"/>
        <w:spacing w:before="0" w:after="0" w:line="240" w:lineRule="auto"/>
        <w:ind w:firstLine="740"/>
        <w:rPr>
          <w:highlight w:val="white"/>
        </w:rPr>
      </w:pPr>
      <w:r>
        <w:rPr>
          <w:highlight w:val="white"/>
        </w:rPr>
        <w:t xml:space="preserve">В целях предупреждения производственного травматизма, </w:t>
      </w:r>
      <w:r>
        <w:rPr>
          <w:highlight w:val="white"/>
        </w:rPr>
        <w:t>улучшения условий труда и сохранения жизни и здоровья работников на регулярной основе проводятся публичные мероприятия по вопросам соблюдения требований в области охраны труда в виде семинаров, совещаний, круглых столов с привлечением областных исполнитель</w:t>
      </w:r>
      <w:r>
        <w:rPr>
          <w:highlight w:val="white"/>
        </w:rPr>
        <w:t xml:space="preserve">ных органов Новосибирской области, органов надзора и контроля, общественных организаций, внебюджетных фондов, организаций, оказывающих услуги в области охраны труда, организаций, осуществляющих изготовление и поставку средств индивидуальной защиты. В 2023 </w:t>
      </w:r>
      <w:r>
        <w:rPr>
          <w:highlight w:val="white"/>
        </w:rPr>
        <w:t xml:space="preserve">году проведен семинар для руководителей и специалистов организаций Новосибирской области строительной сферы. </w:t>
      </w:r>
    </w:p>
    <w:p w:rsidR="00B85499" w:rsidRDefault="002643EC">
      <w:pPr>
        <w:pStyle w:val="26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>Работодателям и работникам оказывается правовая, методическая помощь по актуальным вопросам законодательства в сфере охраны труда, о</w:t>
      </w:r>
      <w:r>
        <w:rPr>
          <w:highlight w:val="white"/>
        </w:rPr>
        <w:t>рганизовано информирование работодателей и работников по вопросам охраны труда через печатные и электронные ресурсы муниципальных районов и городских округов Новосибирской области. В 2023 году и январе-мае 2024 года проведено 7464 консультации, размещена 5</w:t>
      </w:r>
      <w:r>
        <w:rPr>
          <w:highlight w:val="white"/>
        </w:rPr>
        <w:t xml:space="preserve">91 публикация. На официальном сайте министерства труда и социального развития Новосибирской области представлен передовой опыт работы по созданию безопасных условий труда в Новосибирской области. </w:t>
      </w:r>
    </w:p>
    <w:p w:rsidR="00B85499" w:rsidRDefault="002643EC">
      <w:pPr>
        <w:pStyle w:val="26"/>
        <w:shd w:val="clear" w:color="auto" w:fill="auto"/>
        <w:spacing w:before="0" w:after="0" w:line="240" w:lineRule="auto"/>
        <w:ind w:firstLine="740"/>
        <w:rPr>
          <w:highlight w:val="white"/>
        </w:rPr>
      </w:pPr>
      <w:r>
        <w:rPr>
          <w:highlight w:val="white"/>
        </w:rPr>
        <w:t xml:space="preserve">С целью повышения эффективности взаимодействия по вопросам </w:t>
      </w:r>
      <w:r>
        <w:rPr>
          <w:highlight w:val="white"/>
        </w:rPr>
        <w:t>улучшения условий и охраны труда всех заинтересованных ведомств осуществляет свою деятельность Экспертный совет по охране труда Новосибирской области, на заседаниях которого рассматриваются вопросы состояния производственного травматизма в организациях Нов</w:t>
      </w:r>
      <w:r>
        <w:rPr>
          <w:highlight w:val="white"/>
        </w:rPr>
        <w:t>осибирской области.</w:t>
      </w:r>
    </w:p>
    <w:p w:rsidR="00B85499" w:rsidRDefault="002643EC">
      <w:pPr>
        <w:pStyle w:val="26"/>
        <w:shd w:val="clear" w:color="auto" w:fill="auto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>На муниципальном уровне вопросы профилактики производственного травматизма рассматриваются на заседаниях территориальных трехсторонних комиссий по регулированию социально-трудовых отношений, координационных советов по охране труда, семи</w:t>
      </w:r>
      <w:r>
        <w:rPr>
          <w:highlight w:val="white"/>
        </w:rPr>
        <w:t>нарах и совещаниях.</w:t>
      </w:r>
    </w:p>
    <w:p w:rsidR="00B85499" w:rsidRDefault="002643EC">
      <w:pPr>
        <w:pStyle w:val="26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В целях профилактики и снижения производственного травматизма в </w:t>
      </w:r>
      <w:r>
        <w:rPr>
          <w:color w:val="000000" w:themeColor="text1"/>
          <w:highlight w:val="white"/>
        </w:rPr>
        <w:t>строительных организациях и организациях транспорта</w:t>
      </w:r>
      <w:r>
        <w:rPr>
          <w:highlight w:val="white"/>
        </w:rPr>
        <w:t xml:space="preserve"> Новосибирской области Комиссия решила:</w:t>
      </w:r>
    </w:p>
    <w:p w:rsidR="00B85499" w:rsidRDefault="002643EC">
      <w:pPr>
        <w:pStyle w:val="26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1. Принять к сведению информацию </w:t>
      </w:r>
      <w:r>
        <w:t xml:space="preserve">о </w:t>
      </w:r>
      <w:r>
        <w:rPr>
          <w:color w:val="000000" w:themeColor="text1"/>
        </w:rPr>
        <w:t>причинах производственного травматизма и мерах</w:t>
      </w:r>
      <w:r>
        <w:rPr>
          <w:color w:val="000000" w:themeColor="text1"/>
        </w:rPr>
        <w:t xml:space="preserve"> по его профилактике в строительных организациях и организациях транспорта Новосибирской области</w:t>
      </w:r>
      <w:r>
        <w:rPr>
          <w:highlight w:val="white"/>
        </w:rPr>
        <w:t>.</w:t>
      </w:r>
    </w:p>
    <w:p w:rsidR="00B85499" w:rsidRDefault="002643EC">
      <w:pPr>
        <w:pStyle w:val="26"/>
        <w:shd w:val="clear" w:color="auto" w:fill="auto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>2. Рекомендовать Государственной инспекции труда в Новосибирской области, Новосибирскому областному союзу организаций профсоюзов «Федерация профсоюзов Новосиб</w:t>
      </w:r>
      <w:r>
        <w:rPr>
          <w:highlight w:val="white"/>
        </w:rPr>
        <w:t>ирской области» проводить совместные профилактические визиты в организации строительства и транспорта.</w:t>
      </w:r>
    </w:p>
    <w:p w:rsidR="00B85499" w:rsidRDefault="002643EC">
      <w:pPr>
        <w:pStyle w:val="26"/>
        <w:shd w:val="clear" w:color="auto" w:fill="auto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>3. Рекомендовать Новосибирскому областному союзу организаций профсоюзов «Федерация профсоюзов Новосибирской области» и ее соответствующим членским органи</w:t>
      </w:r>
      <w:r>
        <w:rPr>
          <w:highlight w:val="white"/>
        </w:rPr>
        <w:t>зациям продолжить общественный контроль за соблюдением требований охраны труда.</w:t>
      </w:r>
    </w:p>
    <w:p w:rsidR="00B85499" w:rsidRDefault="002643EC">
      <w:pPr>
        <w:pStyle w:val="26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 xml:space="preserve">4. Сторонам социального партнерства продолжить практику рассмотрения </w:t>
      </w:r>
      <w:r>
        <w:rPr>
          <w:highlight w:val="white"/>
        </w:rPr>
        <w:lastRenderedPageBreak/>
        <w:t>на заседаниях Экспертного совета по охране труда в Новосибирской области выполнение работодателями мероприя</w:t>
      </w:r>
      <w:r>
        <w:rPr>
          <w:highlight w:val="white"/>
        </w:rPr>
        <w:t>тий по устранению причин групповых несчастных случаев, несчастных случаев со смертельным исходом, разработанных по результатам их расследования.</w:t>
      </w:r>
    </w:p>
    <w:p w:rsidR="00B85499" w:rsidRDefault="002643EC">
      <w:pPr>
        <w:pStyle w:val="26"/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>5. Рекомендовать Государственной инспекции труда в Новосибирской области совместно с министерством труда и соци</w:t>
      </w:r>
      <w:r>
        <w:rPr>
          <w:highlight w:val="white"/>
        </w:rPr>
        <w:t>ального развития Новосибирской области, министерством транспорта и дорожного хозяйства Новосибирской области, министерством строительства Новосибирской области, с привлечением Новосибирского регионального союза объединения работодателей «Союз руководителей</w:t>
      </w:r>
      <w:r>
        <w:rPr>
          <w:highlight w:val="white"/>
        </w:rPr>
        <w:t xml:space="preserve"> предприятий и работодателей», </w:t>
      </w:r>
      <w:r>
        <w:rPr>
          <w:highlight w:val="white"/>
        </w:rPr>
        <w:t>Ассоциации Регионального отраслевого объединения работодателей «Саморегулируемая организация Строителей Сибирского региона»</w:t>
      </w:r>
      <w:r>
        <w:rPr>
          <w:highlight w:val="white"/>
        </w:rPr>
        <w:t>, продолжить практику проведения семинаров-совещаний по вопросам соблюдения законодательства в области</w:t>
      </w:r>
      <w:r>
        <w:rPr>
          <w:highlight w:val="white"/>
        </w:rPr>
        <w:t xml:space="preserve"> охраны труда, соверше</w:t>
      </w:r>
      <w:r>
        <w:rPr>
          <w:highlight w:val="white"/>
        </w:rPr>
        <w:t>нствования системы управления охраной труда, ответственности за нарушение требований трудового законодательства.</w:t>
      </w:r>
    </w:p>
    <w:p w:rsidR="00B85499" w:rsidRDefault="002643EC">
      <w:pPr>
        <w:pStyle w:val="26"/>
        <w:spacing w:before="0" w:after="0" w:line="240" w:lineRule="auto"/>
        <w:ind w:firstLine="760"/>
      </w:pPr>
      <w:r>
        <w:rPr>
          <w:highlight w:val="white"/>
        </w:rPr>
        <w:t>6. Рекомендовать министерству транспорта и дорожного хозяйства Новосибирской области, министерству строительства Новосиби</w:t>
      </w:r>
      <w:r>
        <w:rPr>
          <w:highlight w:val="white"/>
        </w:rPr>
        <w:t>рской области продолжить информирование руководителей организаций курируемых сфер деятельности о вновь принятых нормативных правовых актах по вопросам охраны труда, а также по вопросам улучшения условий и охраны труда и предотвращения несчастных случаев на</w:t>
      </w:r>
      <w:r>
        <w:rPr>
          <w:highlight w:val="white"/>
        </w:rPr>
        <w:t xml:space="preserve"> производстве.</w:t>
      </w:r>
    </w:p>
    <w:p w:rsidR="00B85499" w:rsidRDefault="002643EC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760"/>
        <w:rPr>
          <w:highlight w:val="white"/>
        </w:rPr>
      </w:pPr>
      <w:r>
        <w:rPr>
          <w:highlight w:val="white"/>
        </w:rPr>
        <w:t>7.</w:t>
      </w:r>
      <w:r>
        <w:t> </w:t>
      </w:r>
      <w:r>
        <w:rPr>
          <w:rStyle w:val="13"/>
          <w:i w:val="0"/>
        </w:rPr>
        <w:t xml:space="preserve">Рекомендовать министерству строительства Новосибирской области, Ассоциации Регионального отраслевого объединения работодателей «Саморегулируемая организация Строителей Сибирского региона», Новосибирской областной общественной профсоюзной </w:t>
      </w:r>
      <w:r>
        <w:rPr>
          <w:rStyle w:val="13"/>
          <w:i w:val="0"/>
        </w:rPr>
        <w:t>организации работников строительства и промышленности строительных материалов заключить отраслевое соглашение и оказывать содействие в заключении коллективных договоров в организациях.</w:t>
      </w:r>
    </w:p>
    <w:p w:rsidR="00B85499" w:rsidRDefault="00B85499">
      <w:pPr>
        <w:pStyle w:val="26"/>
        <w:spacing w:before="0" w:after="0" w:line="240" w:lineRule="auto"/>
        <w:ind w:firstLine="760"/>
        <w:rPr>
          <w:highlight w:val="white"/>
        </w:rPr>
      </w:pPr>
    </w:p>
    <w:p w:rsidR="00B85499" w:rsidRDefault="00B85499">
      <w:pPr>
        <w:pStyle w:val="26"/>
        <w:spacing w:before="0" w:after="0" w:line="240" w:lineRule="auto"/>
        <w:ind w:firstLine="760"/>
        <w:rPr>
          <w:highlight w:val="white"/>
        </w:rPr>
      </w:pPr>
    </w:p>
    <w:p w:rsidR="00B85499" w:rsidRDefault="00B85499">
      <w:pPr>
        <w:pStyle w:val="26"/>
        <w:spacing w:before="0" w:after="0" w:line="240" w:lineRule="auto"/>
        <w:ind w:firstLine="760"/>
        <w:rPr>
          <w:highlight w:val="white"/>
        </w:rPr>
      </w:pPr>
    </w:p>
    <w:p w:rsidR="00B85499" w:rsidRDefault="002643EC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bidi="ar-SA"/>
        </w:rPr>
        <w:t>Координатор Комиссии,</w:t>
      </w:r>
    </w:p>
    <w:p w:rsidR="00B85499" w:rsidRDefault="002643EC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 w:bidi="ar-SA"/>
        </w:rPr>
        <w:t>первый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 w:bidi="ar-SA"/>
        </w:rPr>
        <w:t xml:space="preserve"> заместитель Председателя</w:t>
      </w:r>
    </w:p>
    <w:p w:rsidR="00B85499" w:rsidRDefault="002643EC">
      <w:pPr>
        <w:rPr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Правительства Новосибирской области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Знатков</w:t>
      </w:r>
      <w:proofErr w:type="spellEnd"/>
    </w:p>
    <w:sectPr w:rsidR="00B85499">
      <w:headerReference w:type="default" r:id="rId7"/>
      <w:type w:val="continuous"/>
      <w:pgSz w:w="11900" w:h="16840"/>
      <w:pgMar w:top="1191" w:right="567" w:bottom="119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EC" w:rsidRDefault="002643EC">
      <w:r>
        <w:separator/>
      </w:r>
    </w:p>
  </w:endnote>
  <w:endnote w:type="continuationSeparator" w:id="0">
    <w:p w:rsidR="002643EC" w:rsidRDefault="002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EC" w:rsidRDefault="002643EC"/>
  </w:footnote>
  <w:footnote w:type="continuationSeparator" w:id="0">
    <w:p w:rsidR="002643EC" w:rsidRDefault="002643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99" w:rsidRDefault="002643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3986530</wp:posOffset>
              </wp:positionH>
              <wp:positionV relativeFrom="page">
                <wp:posOffset>431165</wp:posOffset>
              </wp:positionV>
              <wp:extent cx="64135" cy="146050"/>
              <wp:effectExtent l="0" t="254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B85499" w:rsidRDefault="002643EC">
                          <w:pPr>
                            <w:pStyle w:val="af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B65" w:rsidRPr="001D3B65">
                            <w:rPr>
                              <w:rStyle w:val="af8"/>
                              <w:noProof/>
                            </w:rPr>
                            <w:t>3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9pt;margin-top:33.9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" filled="f" stroked="f">
              <v:textbox style="mso-fit-shape-to-text:t" inset="0,0,0,0">
                <w:txbxContent>
                  <w:p w:rsidR="00B85499" w:rsidRDefault="002643EC">
                    <w:pPr>
                      <w:pStyle w:val="af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B65" w:rsidRPr="001D3B65">
                      <w:rPr>
                        <w:rStyle w:val="af8"/>
                        <w:noProof/>
                      </w:rPr>
                      <w:t>3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205B"/>
    <w:multiLevelType w:val="hybridMultilevel"/>
    <w:tmpl w:val="D6A8983C"/>
    <w:lvl w:ilvl="0" w:tplc="E21034FA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368CC96">
      <w:start w:val="1"/>
      <w:numFmt w:val="decimal"/>
      <w:lvlText w:val=""/>
      <w:lvlJc w:val="left"/>
    </w:lvl>
    <w:lvl w:ilvl="2" w:tplc="15FA832C">
      <w:start w:val="1"/>
      <w:numFmt w:val="decimal"/>
      <w:lvlText w:val=""/>
      <w:lvlJc w:val="left"/>
    </w:lvl>
    <w:lvl w:ilvl="3" w:tplc="BC9C26A8">
      <w:start w:val="1"/>
      <w:numFmt w:val="decimal"/>
      <w:lvlText w:val=""/>
      <w:lvlJc w:val="left"/>
    </w:lvl>
    <w:lvl w:ilvl="4" w:tplc="5846F32E">
      <w:start w:val="1"/>
      <w:numFmt w:val="decimal"/>
      <w:lvlText w:val=""/>
      <w:lvlJc w:val="left"/>
    </w:lvl>
    <w:lvl w:ilvl="5" w:tplc="C2D04B1C">
      <w:start w:val="1"/>
      <w:numFmt w:val="decimal"/>
      <w:lvlText w:val=""/>
      <w:lvlJc w:val="left"/>
    </w:lvl>
    <w:lvl w:ilvl="6" w:tplc="C5D2A724">
      <w:start w:val="1"/>
      <w:numFmt w:val="decimal"/>
      <w:lvlText w:val=""/>
      <w:lvlJc w:val="left"/>
    </w:lvl>
    <w:lvl w:ilvl="7" w:tplc="93D4BA34">
      <w:start w:val="1"/>
      <w:numFmt w:val="decimal"/>
      <w:lvlText w:val=""/>
      <w:lvlJc w:val="left"/>
    </w:lvl>
    <w:lvl w:ilvl="8" w:tplc="E684F66E">
      <w:start w:val="1"/>
      <w:numFmt w:val="decimal"/>
      <w:lvlText w:val=""/>
      <w:lvlJc w:val="left"/>
    </w:lvl>
  </w:abstractNum>
  <w:abstractNum w:abstractNumId="1">
    <w:nsid w:val="40C21062"/>
    <w:multiLevelType w:val="hybridMultilevel"/>
    <w:tmpl w:val="667AAEFA"/>
    <w:lvl w:ilvl="0" w:tplc="332A2D38">
      <w:start w:val="2022"/>
      <w:numFmt w:val="decimal"/>
      <w:lvlText w:val="0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6CACBB4">
      <w:start w:val="1"/>
      <w:numFmt w:val="decimal"/>
      <w:lvlText w:val=""/>
      <w:lvlJc w:val="left"/>
    </w:lvl>
    <w:lvl w:ilvl="2" w:tplc="60727274">
      <w:start w:val="1"/>
      <w:numFmt w:val="decimal"/>
      <w:lvlText w:val=""/>
      <w:lvlJc w:val="left"/>
    </w:lvl>
    <w:lvl w:ilvl="3" w:tplc="2A78A720">
      <w:start w:val="1"/>
      <w:numFmt w:val="decimal"/>
      <w:lvlText w:val=""/>
      <w:lvlJc w:val="left"/>
    </w:lvl>
    <w:lvl w:ilvl="4" w:tplc="F424B47C">
      <w:start w:val="1"/>
      <w:numFmt w:val="decimal"/>
      <w:lvlText w:val=""/>
      <w:lvlJc w:val="left"/>
    </w:lvl>
    <w:lvl w:ilvl="5" w:tplc="7DD825B4">
      <w:start w:val="1"/>
      <w:numFmt w:val="decimal"/>
      <w:lvlText w:val=""/>
      <w:lvlJc w:val="left"/>
    </w:lvl>
    <w:lvl w:ilvl="6" w:tplc="DABAB9F6">
      <w:start w:val="1"/>
      <w:numFmt w:val="decimal"/>
      <w:lvlText w:val=""/>
      <w:lvlJc w:val="left"/>
    </w:lvl>
    <w:lvl w:ilvl="7" w:tplc="A64417F2">
      <w:start w:val="1"/>
      <w:numFmt w:val="decimal"/>
      <w:lvlText w:val=""/>
      <w:lvlJc w:val="left"/>
    </w:lvl>
    <w:lvl w:ilvl="8" w:tplc="01BAB3FC">
      <w:start w:val="1"/>
      <w:numFmt w:val="decimal"/>
      <w:lvlText w:val=""/>
      <w:lvlJc w:val="left"/>
    </w:lvl>
  </w:abstractNum>
  <w:abstractNum w:abstractNumId="2">
    <w:nsid w:val="575C2A49"/>
    <w:multiLevelType w:val="multilevel"/>
    <w:tmpl w:val="E4E82EA6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4775AE"/>
    <w:multiLevelType w:val="hybridMultilevel"/>
    <w:tmpl w:val="BDFCDDB8"/>
    <w:lvl w:ilvl="0" w:tplc="9FAC19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2DAA9C6">
      <w:start w:val="1"/>
      <w:numFmt w:val="decimal"/>
      <w:lvlText w:val=""/>
      <w:lvlJc w:val="left"/>
    </w:lvl>
    <w:lvl w:ilvl="2" w:tplc="B14E80FA">
      <w:start w:val="1"/>
      <w:numFmt w:val="decimal"/>
      <w:lvlText w:val=""/>
      <w:lvlJc w:val="left"/>
    </w:lvl>
    <w:lvl w:ilvl="3" w:tplc="7BE0DCC0">
      <w:start w:val="1"/>
      <w:numFmt w:val="decimal"/>
      <w:lvlText w:val=""/>
      <w:lvlJc w:val="left"/>
    </w:lvl>
    <w:lvl w:ilvl="4" w:tplc="36C0C698">
      <w:start w:val="1"/>
      <w:numFmt w:val="decimal"/>
      <w:lvlText w:val=""/>
      <w:lvlJc w:val="left"/>
    </w:lvl>
    <w:lvl w:ilvl="5" w:tplc="43E61F20">
      <w:start w:val="1"/>
      <w:numFmt w:val="decimal"/>
      <w:lvlText w:val=""/>
      <w:lvlJc w:val="left"/>
    </w:lvl>
    <w:lvl w:ilvl="6" w:tplc="82AC73BE">
      <w:start w:val="1"/>
      <w:numFmt w:val="decimal"/>
      <w:lvlText w:val=""/>
      <w:lvlJc w:val="left"/>
    </w:lvl>
    <w:lvl w:ilvl="7" w:tplc="AB741CA6">
      <w:start w:val="1"/>
      <w:numFmt w:val="decimal"/>
      <w:lvlText w:val=""/>
      <w:lvlJc w:val="left"/>
    </w:lvl>
    <w:lvl w:ilvl="8" w:tplc="5A64036E">
      <w:start w:val="1"/>
      <w:numFmt w:val="decimal"/>
      <w:lvlText w:val=""/>
      <w:lvlJc w:val="left"/>
    </w:lvl>
  </w:abstractNum>
  <w:abstractNum w:abstractNumId="4">
    <w:nsid w:val="77205C3D"/>
    <w:multiLevelType w:val="hybridMultilevel"/>
    <w:tmpl w:val="BF2808C6"/>
    <w:lvl w:ilvl="0" w:tplc="0D1E89F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C89982">
      <w:start w:val="1"/>
      <w:numFmt w:val="decimal"/>
      <w:lvlText w:val=""/>
      <w:lvlJc w:val="left"/>
    </w:lvl>
    <w:lvl w:ilvl="2" w:tplc="AD7AC71E">
      <w:start w:val="1"/>
      <w:numFmt w:val="decimal"/>
      <w:lvlText w:val=""/>
      <w:lvlJc w:val="left"/>
    </w:lvl>
    <w:lvl w:ilvl="3" w:tplc="75AE0694">
      <w:start w:val="1"/>
      <w:numFmt w:val="decimal"/>
      <w:lvlText w:val=""/>
      <w:lvlJc w:val="left"/>
    </w:lvl>
    <w:lvl w:ilvl="4" w:tplc="98BE476C">
      <w:start w:val="1"/>
      <w:numFmt w:val="decimal"/>
      <w:lvlText w:val=""/>
      <w:lvlJc w:val="left"/>
    </w:lvl>
    <w:lvl w:ilvl="5" w:tplc="6F4C1660">
      <w:start w:val="1"/>
      <w:numFmt w:val="decimal"/>
      <w:lvlText w:val=""/>
      <w:lvlJc w:val="left"/>
    </w:lvl>
    <w:lvl w:ilvl="6" w:tplc="BDAA931E">
      <w:start w:val="1"/>
      <w:numFmt w:val="decimal"/>
      <w:lvlText w:val=""/>
      <w:lvlJc w:val="left"/>
    </w:lvl>
    <w:lvl w:ilvl="7" w:tplc="92CABAB0">
      <w:start w:val="1"/>
      <w:numFmt w:val="decimal"/>
      <w:lvlText w:val=""/>
      <w:lvlJc w:val="left"/>
    </w:lvl>
    <w:lvl w:ilvl="8" w:tplc="640C7BA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99"/>
    <w:rsid w:val="001D3B65"/>
    <w:rsid w:val="002643EC"/>
    <w:rsid w:val="00B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9F69-F9B3-4091-B057-E3ABB01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customStyle="1" w:styleId="ConsNormal">
    <w:name w:val="ConsNormal"/>
    <w:pPr>
      <w:ind w:firstLine="720"/>
    </w:pPr>
    <w:rPr>
      <w:rFonts w:ascii="Arial" w:eastAsia="Times New Roman" w:hAnsi="Arial" w:cs="Times New Roman"/>
      <w:lang w:bidi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Выделение1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минтруд НСО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psa</dc:creator>
  <cp:keywords>MRV2196.jpg, MRV21961.jpg, MRV21962.jpg</cp:keywords>
  <cp:lastModifiedBy>Карпова Людмила  Александровна</cp:lastModifiedBy>
  <cp:revision>2</cp:revision>
  <dcterms:created xsi:type="dcterms:W3CDTF">2024-09-26T07:30:00Z</dcterms:created>
  <dcterms:modified xsi:type="dcterms:W3CDTF">2024-09-26T07:30:00Z</dcterms:modified>
</cp:coreProperties>
</file>