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 трудоустройстве выпускников профессиональных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 Новосибирской области в 2024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Нов</w:t>
      </w:r>
      <w:r>
        <w:rPr>
          <w:sz w:val="28"/>
        </w:rPr>
        <w:t xml:space="preserve">осибирская областная трехсторонняя комиссия по регулированию социально-трудовых отношений (далее – Комиссия), заслушав информацию о трудоустройстве выпускников профессиональных образовательных организаций Новосибирской области в 2024 году, отмечает высокий</w:t>
      </w:r>
      <w:r>
        <w:rPr>
          <w:color w:val="000000"/>
          <w:sz w:val="28"/>
          <w:szCs w:val="28"/>
        </w:rPr>
        <w:t xml:space="preserve"> уровень занятости выпускников 2024 года с учетом планирующих трудоустроиться, продолживших обучение, призванных на службу в Вооруженные Силы Российской Федерации, находящихся в отпуске по уходу за ребенком, – 98,4%.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система среднего профессионального образования (далее – СПО) включает в себя 77 образовательных организаций (59 </w:t>
      </w:r>
      <w:r>
        <w:rPr>
          <w:color w:val="000000"/>
          <w:sz w:val="28"/>
          <w:szCs w:val="28"/>
        </w:rPr>
        <w:t xml:space="preserve">государственных профессиональных образовательных организаций, подведомственных </w:t>
      </w:r>
      <w:r>
        <w:rPr>
          <w:color w:val="000000"/>
          <w:sz w:val="28"/>
          <w:szCs w:val="28"/>
        </w:rPr>
        <w:t xml:space="preserve">областным </w:t>
      </w:r>
      <w:r>
        <w:rPr>
          <w:color w:val="000000"/>
          <w:sz w:val="28"/>
          <w:szCs w:val="28"/>
        </w:rPr>
        <w:t xml:space="preserve">исполнительным органам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  <w:t xml:space="preserve">; 2 федеральные государственные образовательные организации СПО;</w:t>
      </w:r>
      <w:r>
        <w:rPr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10 федеральных государственных образовательных организаций высшего образования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, реализующих программы СПО; 6 негосударственных (частных) образовательных организаций).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выпускников 2024 года, завершивших обучение по программам СПО в образовательных организациях, расположенных на территории Новосибирской области, составляет 16,5 тыс. человек.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Большинство выпускников 2024 года трудоустроились и планируют трудоустроит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в сферу услуг, туризма</w:t>
      </w:r>
      <w:r>
        <w:rPr>
          <w:sz w:val="28"/>
          <w:szCs w:val="28"/>
        </w:rPr>
        <w:t xml:space="preserve"> и финансового сектора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3948</w:t>
      </w:r>
      <w:r>
        <w:rPr>
          <w:sz w:val="28"/>
          <w:szCs w:val="28"/>
        </w:rPr>
        <w:t xml:space="preserve"> чел.),</w:t>
      </w:r>
      <w:r>
        <w:rPr>
          <w:sz w:val="28"/>
          <w:szCs w:val="28"/>
        </w:rPr>
        <w:t xml:space="preserve"> транспорта и строительства (2414 чел.), промышленности (2097 чел.), медицины (1150 чел.), образования</w:t>
      </w:r>
      <w:r>
        <w:rPr>
          <w:sz w:val="28"/>
          <w:szCs w:val="28"/>
        </w:rPr>
        <w:t xml:space="preserve"> (944 чел.), информационных технологий (943 чел.), сельского хозяйства (820 чел.)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мониторинга маршрутизац</w:t>
      </w:r>
      <w:r>
        <w:rPr>
          <w:sz w:val="28"/>
          <w:szCs w:val="28"/>
        </w:rPr>
        <w:t xml:space="preserve">ии выпускников по состоянию на 25</w:t>
      </w:r>
      <w:r>
        <w:rPr>
          <w:sz w:val="28"/>
          <w:szCs w:val="28"/>
        </w:rPr>
        <w:t xml:space="preserve">.09.2024 на предприятия оборонно-промышленного комплекса трудоустроились 516 выпускников 2024 года, планируют трудоустроиться – 57 выпускников.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ведомственной статистики около 37% выпускников возвращаются после завершения обучения в колледже или лицее на место своего прежнего проживания.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В целях организации содействия трудоустройству выпускников в 100% образовательных организаций функционируют центры содействия трудоустройству выпускников (далее – центры).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мер содействия трудоустройству выпускников центрами осуществляется 100-процентный охват выпускников, находящихся в поиске по</w:t>
      </w:r>
      <w:r>
        <w:rPr>
          <w:sz w:val="28"/>
          <w:szCs w:val="28"/>
        </w:rPr>
        <w:t xml:space="preserve">дходящей работы. Размещаются актуальные вакансии на сайтах образовательных организаций, осуществляется проведение встреч студентов выпускных курсов с представителями работодателей, распределение выпускников, их консультирование по вопросам трудоустройства.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Также центрами ведется персонифицированный учет выпускников, находящихся под риском нетрудоустройства. Во взаи</w:t>
      </w:r>
      <w:r>
        <w:rPr>
          <w:color w:val="000000"/>
          <w:sz w:val="28"/>
          <w:szCs w:val="28"/>
        </w:rPr>
        <w:t xml:space="preserve">модействии с кадровыми службами организаций и государственными казенными учреждениями занятости населения Новосибирской области (далее – центры занятости населения) центры проводят адресную работу с каждым выпускником, не определившимся с трудоустройством.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содействия трудоустройству выпускников профессиональных образовательных организаций, подведомственных министерству образования Новосибирской области, реализуются следующие меры: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– формируется и размещается в сети «Интернет» база данных выпускников профессиональных образовательных организаций (ежегодно);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6"/>
        <w:ind w:left="0" w:firstLine="709"/>
        <w:jc w:val="both"/>
      </w:pPr>
      <w:r>
        <w:t xml:space="preserve">– проводится распределение выпускников профессиональных образовательных организаций сферы промышленности, строительства, сельского и лесного хозяйства, транспорта и услуг;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размещается информация об имеющихся вакансиях без предъявлений требований к стажу работы на официальных сайтах образовательных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организуется взаимодействие профессиональных образовательных организаций с центрами занятости населения, с представителями работодателей и их объединениями;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– проводится мониторинг о ходе трудоустройства выпускников, в том числе относящихся к категории инвалидов и лиц с ограниченными возможностями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firstLine="708"/>
        <w:jc w:val="both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 постоянной основе профессиональными образовательными организациями прорабатываются с работодателями вопросы по заключению договоров целевого обучения, в том числе </w:t>
      </w:r>
      <w:r>
        <w:rPr>
          <w:iCs/>
          <w:color w:val="000000"/>
          <w:sz w:val="28"/>
          <w:szCs w:val="28"/>
        </w:rPr>
        <w:t xml:space="preserve">предусматривающих возможность предоставления студентам мер социальной поддержки.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943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данным </w:t>
      </w:r>
      <w:r>
        <w:rPr>
          <w:color w:val="000000"/>
          <w:sz w:val="28"/>
          <w:szCs w:val="28"/>
        </w:rPr>
        <w:t xml:space="preserve">мониторинга занятости выпускников, завершивших обучение по программам СПО в 2024 году</w:t>
      </w:r>
      <w:r>
        <w:rPr>
          <w:iCs/>
          <w:color w:val="000000"/>
          <w:sz w:val="28"/>
          <w:szCs w:val="28"/>
        </w:rPr>
        <w:t xml:space="preserve">, в настоящее время в соответствии с заключенным целевым договором трудоустроено 128 человек.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8"/>
        <w:ind w:firstLine="709"/>
      </w:pPr>
      <w:r>
        <w:t xml:space="preserve">Исходя из вышеизложенного</w:t>
      </w:r>
      <w:r>
        <w:rPr>
          <w:color w:val="000000" w:themeColor="text1"/>
          <w:szCs w:val="28"/>
        </w:rPr>
        <w:t xml:space="preserve"> в целях реализации мер по содействию трудоустройству выпускников, завершивших в 2024 году обучение по программам СПО в образовательных организациях, расположенных на территории Новосибирской области</w:t>
      </w:r>
      <w:r>
        <w:t xml:space="preserve">, Комиссия решила:</w:t>
      </w:r>
      <w:r/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Рекомендовать министер</w:t>
      </w:r>
      <w:r>
        <w:rPr>
          <w:color w:val="000000" w:themeColor="text1"/>
          <w:sz w:val="28"/>
          <w:szCs w:val="28"/>
        </w:rPr>
        <w:t xml:space="preserve">ству образования Новосибирской области во взаимодействии с министерством труда и социального развития Новосибирской области, межрегиональной общественной организацией «Межрегиональная ассоциация руководителей предприятий» продолжить работу по формированию </w:t>
      </w:r>
      <w:r>
        <w:rPr>
          <w:color w:val="000000" w:themeColor="text1"/>
          <w:sz w:val="28"/>
          <w:szCs w:val="28"/>
        </w:rPr>
        <w:t xml:space="preserve">банка вакансий без предъявления требований к стажу работы,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по организации содействия трудоустройству выпускников, находящихся под риском нетрудоустройства.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Рекомендовать ц</w:t>
      </w:r>
      <w:r>
        <w:rPr>
          <w:sz w:val="28"/>
          <w:szCs w:val="28"/>
        </w:rPr>
        <w:t xml:space="preserve">ентрам содействия трудоустройству выпускников: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– </w:t>
      </w:r>
      <w:r>
        <w:rPr>
          <w:color w:val="000000" w:themeColor="text1"/>
          <w:sz w:val="28"/>
          <w:szCs w:val="28"/>
        </w:rPr>
        <w:t xml:space="preserve">провести персонифицированный учет выпускников, находящихся под риском нетрудоустройства;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 во взаимодействии с кадровыми службами организаций и центрами занятости населения провести адресную работу с каждым выпускником, не определившимся с трудоустройством.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Рекомендовать образовательным организациям СПО проработать алгоритм увеличения количества целевых договоров обучения между студентами и работодателями для закрепления выпускников с последующим трудоустройством.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</w:pPr>
      <w:r>
        <w:rPr>
          <w:color w:val="000000" w:themeColor="text1"/>
          <w:sz w:val="28"/>
          <w:szCs w:val="28"/>
        </w:rPr>
        <w:t xml:space="preserve">4. Рекомендовать главам муниципальных районов и</w:t>
      </w:r>
      <w:r>
        <w:rPr>
          <w:color w:val="000000" w:themeColor="text1"/>
          <w:sz w:val="28"/>
          <w:szCs w:val="28"/>
        </w:rPr>
        <w:t xml:space="preserve"> городских округов Новосибирской области продолжить реализацию Планов мероприятий («дорожных карт») по организации маршрутизации выпускников, завершающих обучение по программам СПО и высшего образования, в целях содействия их трудоустройству в организации.</w:t>
      </w:r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p>
      <w:pPr>
        <w:pStyle w:val="928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3</w: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57"/>
    <w:qFormat/>
    <w:pPr>
      <w:jc w:val="both"/>
      <w:keepNext/>
      <w:outlineLvl w:val="0"/>
    </w:pPr>
    <w:rPr>
      <w:color w:val="000000"/>
      <w:sz w:val="28"/>
    </w:rPr>
  </w:style>
  <w:style w:type="paragraph" w:styleId="729">
    <w:name w:val="Heading 2"/>
    <w:basedOn w:val="727"/>
    <w:next w:val="727"/>
    <w:link w:val="758"/>
    <w:qFormat/>
    <w:pPr>
      <w:ind w:firstLine="851"/>
      <w:jc w:val="both"/>
      <w:keepNext/>
      <w:outlineLvl w:val="1"/>
    </w:pPr>
    <w:rPr>
      <w:color w:val="008000"/>
      <w:sz w:val="28"/>
    </w:rPr>
  </w:style>
  <w:style w:type="paragraph" w:styleId="730">
    <w:name w:val="Heading 3"/>
    <w:basedOn w:val="727"/>
    <w:next w:val="727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Header Char"/>
    <w:basedOn w:val="737"/>
    <w:uiPriority w:val="99"/>
  </w:style>
  <w:style w:type="character" w:styleId="754" w:customStyle="1">
    <w:name w:val="Caption Char"/>
    <w:uiPriority w:val="99"/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27"/>
    <w:uiPriority w:val="34"/>
    <w:qFormat/>
    <w:pPr>
      <w:contextualSpacing/>
      <w:ind w:left="720"/>
    </w:pPr>
    <w:rPr>
      <w:sz w:val="28"/>
      <w:szCs w:val="28"/>
    </w:rPr>
  </w:style>
  <w:style w:type="paragraph" w:styleId="767">
    <w:name w:val="No Spacing"/>
    <w:uiPriority w:val="1"/>
    <w:qFormat/>
  </w:style>
  <w:style w:type="paragraph" w:styleId="768">
    <w:name w:val="Title"/>
    <w:basedOn w:val="727"/>
    <w:next w:val="727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27"/>
    <w:next w:val="727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27"/>
    <w:next w:val="727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7"/>
    <w:next w:val="727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27"/>
    <w:link w:val="777"/>
    <w:pPr>
      <w:tabs>
        <w:tab w:val="center" w:pos="4677" w:leader="none"/>
        <w:tab w:val="right" w:pos="9355" w:leader="none"/>
      </w:tabs>
    </w:pPr>
  </w:style>
  <w:style w:type="character" w:styleId="777" w:customStyle="1">
    <w:name w:val="Верхний колонтитул Знак"/>
    <w:link w:val="776"/>
    <w:uiPriority w:val="99"/>
  </w:style>
  <w:style w:type="paragraph" w:styleId="778">
    <w:name w:val="Footer"/>
    <w:basedOn w:val="727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27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27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27"/>
    <w:next w:val="727"/>
    <w:uiPriority w:val="39"/>
    <w:unhideWhenUsed/>
    <w:pPr>
      <w:spacing w:after="57"/>
    </w:pPr>
  </w:style>
  <w:style w:type="paragraph" w:styleId="916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17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18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19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20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21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22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23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27"/>
    <w:next w:val="727"/>
    <w:uiPriority w:val="99"/>
    <w:unhideWhenUsed/>
  </w:style>
  <w:style w:type="paragraph" w:styleId="926">
    <w:name w:val="Body Text 2"/>
    <w:basedOn w:val="727"/>
    <w:pPr>
      <w:jc w:val="center"/>
    </w:pPr>
    <w:rPr>
      <w:sz w:val="28"/>
    </w:rPr>
  </w:style>
  <w:style w:type="paragraph" w:styleId="927">
    <w:name w:val="Body Text Indent 3"/>
    <w:basedOn w:val="727"/>
    <w:pPr>
      <w:ind w:firstLine="720"/>
      <w:jc w:val="both"/>
    </w:pPr>
    <w:rPr>
      <w:sz w:val="26"/>
    </w:rPr>
  </w:style>
  <w:style w:type="paragraph" w:styleId="928">
    <w:name w:val="Body Text"/>
    <w:basedOn w:val="727"/>
    <w:pPr>
      <w:jc w:val="both"/>
    </w:pPr>
    <w:rPr>
      <w:sz w:val="28"/>
    </w:rPr>
  </w:style>
  <w:style w:type="paragraph" w:styleId="929">
    <w:name w:val="Body Text Indent"/>
    <w:basedOn w:val="727"/>
    <w:pPr>
      <w:ind w:firstLine="709"/>
      <w:jc w:val="both"/>
    </w:pPr>
    <w:rPr>
      <w:color w:val="000000"/>
      <w:sz w:val="26"/>
    </w:rPr>
  </w:style>
  <w:style w:type="paragraph" w:styleId="930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1">
    <w:name w:val="page number"/>
    <w:basedOn w:val="737"/>
  </w:style>
  <w:style w:type="paragraph" w:styleId="932">
    <w:name w:val="Balloon Text"/>
    <w:basedOn w:val="727"/>
    <w:semiHidden/>
    <w:rPr>
      <w:rFonts w:ascii="Tahoma" w:hAnsi="Tahoma" w:cs="Tahoma"/>
      <w:sz w:val="16"/>
      <w:szCs w:val="16"/>
    </w:rPr>
  </w:style>
  <w:style w:type="paragraph" w:styleId="933">
    <w:name w:val="Body Text Indent 2"/>
    <w:basedOn w:val="727"/>
    <w:pPr>
      <w:ind w:firstLine="709"/>
      <w:jc w:val="both"/>
    </w:pPr>
    <w:rPr>
      <w:sz w:val="28"/>
    </w:rPr>
  </w:style>
  <w:style w:type="paragraph" w:styleId="934" w:customStyle="1">
    <w:name w:val="Знак"/>
    <w:basedOn w:val="727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935">
    <w:name w:val="Emphasis"/>
    <w:qFormat/>
    <w:rPr>
      <w:i/>
      <w:iCs/>
    </w:rPr>
  </w:style>
  <w:style w:type="paragraph" w:styleId="936" w:customStyle="1">
    <w:name w:val="Обычный + 14 пт"/>
    <w:basedOn w:val="727"/>
    <w:link w:val="937"/>
    <w:pPr>
      <w:ind w:firstLine="709"/>
      <w:jc w:val="both"/>
      <w:widowControl w:val="off"/>
    </w:pPr>
    <w:rPr>
      <w:sz w:val="28"/>
      <w:szCs w:val="28"/>
    </w:rPr>
  </w:style>
  <w:style w:type="character" w:styleId="937" w:customStyle="1">
    <w:name w:val="Обычный + 14 пт Знак"/>
    <w:link w:val="936"/>
    <w:rPr>
      <w:sz w:val="28"/>
      <w:szCs w:val="28"/>
    </w:rPr>
  </w:style>
  <w:style w:type="paragraph" w:styleId="938" w:customStyle="1">
    <w:name w:val="Основной текст с отступом.Мой Заголовок 1.Основной текст 1"/>
    <w:basedOn w:val="727"/>
    <w:pPr>
      <w:ind w:firstLine="708"/>
      <w:jc w:val="both"/>
    </w:pPr>
    <w:rPr>
      <w:sz w:val="32"/>
    </w:rPr>
  </w:style>
  <w:style w:type="paragraph" w:styleId="939" w:customStyle="1">
    <w:name w:val="Char Знак Знак"/>
    <w:basedOn w:val="727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40" w:customStyle="1">
    <w:name w:val="consplustitle"/>
    <w:basedOn w:val="727"/>
    <w:rPr>
      <w:rFonts w:ascii="Arial" w:hAnsi="Arial" w:eastAsia="Arial Unicode MS" w:cs="Arial"/>
      <w:b/>
      <w:bCs/>
    </w:rPr>
  </w:style>
  <w:style w:type="paragraph" w:styleId="941" w:customStyle="1">
    <w:name w:val="Текст1"/>
    <w:basedOn w:val="727"/>
    <w:rPr>
      <w:rFonts w:ascii="Calibri" w:hAnsi="Calibri" w:eastAsia="Calibri"/>
      <w:sz w:val="22"/>
      <w:szCs w:val="21"/>
      <w:lang w:eastAsia="zh-CN"/>
    </w:rPr>
  </w:style>
  <w:style w:type="paragraph" w:styleId="942" w:customStyle="1">
    <w:name w:val="Обычный (веб)1"/>
    <w:uiPriority w:val="99"/>
    <w:semiHidden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43" w:customStyle="1">
    <w:name w:val="docdata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27</cp:revision>
  <dcterms:created xsi:type="dcterms:W3CDTF">2023-10-09T08:23:00Z</dcterms:created>
  <dcterms:modified xsi:type="dcterms:W3CDTF">2024-10-03T01:54:24Z</dcterms:modified>
  <cp:version>917504</cp:version>
</cp:coreProperties>
</file>