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widowControl w:val="off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widowControl w:val="o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keepNext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rPr/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28.02.2024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2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71"/>
        <w:gridCol w:w="3258"/>
      </w:tblGrid>
      <w:tr>
        <w:trPr/>
        <w:tblPrEx/>
        <w:tc>
          <w:tcPr>
            <w:tcW w:w="67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О выполнении в 2023 году Регионального соглашения между областным объединением организаций </w:t>
            </w:r>
            <w:r>
              <w:rPr>
                <w:sz w:val="28"/>
                <w:szCs w:val="20"/>
              </w:rPr>
              <w:t xml:space="preserve">профсоюзов, областными объединениями работодателей и Правительством Новосибирской области на 2023–2025 годы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выполнения в 2023 году Регионального соглашения между областным объединением организаций профсоюзов, областными объединениями р</w:t>
      </w:r>
      <w:r>
        <w:rPr>
          <w:sz w:val="28"/>
          <w:szCs w:val="28"/>
        </w:rPr>
        <w:t xml:space="preserve">аботодателей и Правительством Новосибирской области на 2023–2025 годы (далее – Региональное соглашение) Комиссия отмечает, что согласованные действия сторон социального партнерства способствовали сохранению позитивных тенденций в экономике Новосибирской об</w:t>
      </w:r>
      <w:r>
        <w:rPr>
          <w:sz w:val="28"/>
          <w:szCs w:val="28"/>
        </w:rPr>
        <w:t xml:space="preserve">ласти и социальной стабильности в обществе. </w:t>
      </w:r>
      <w:r>
        <w:rPr>
          <w:sz w:val="28"/>
          <w:szCs w:val="28"/>
        </w:rPr>
        <w:t xml:space="preserve">В результате реализации Стратегии социально-экономического развития Новосибирской области на период до 2030 года, 12 национальных проектов, 37 государственных и ведомственных целевых программ Новосибирской област</w:t>
      </w:r>
      <w:r>
        <w:rPr>
          <w:sz w:val="28"/>
          <w:szCs w:val="28"/>
        </w:rPr>
        <w:t xml:space="preserve">и, принятия мер по созданию условий для привлечения инвестиций и стимулированию экономики, развитию транспортной инфраструктуры и энергетического комплекса темпы экономического развития Новосибирской области в 2023 году сложились выше </w:t>
      </w:r>
      <w:r>
        <w:rPr>
          <w:sz w:val="28"/>
          <w:szCs w:val="28"/>
        </w:rPr>
        <w:t xml:space="preserve">среднероссийских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Инд</w:t>
      </w:r>
      <w:r>
        <w:rPr>
          <w:sz w:val="28"/>
          <w:szCs w:val="28"/>
        </w:rPr>
        <w:t xml:space="preserve">екс промышленного производства составил 106,3% (РФ – 103,5%). Это результат не только загрузки предприятий оборонно-промышленного комплекса, но и гражданских предприятий. </w:t>
      </w:r>
      <w:r>
        <w:rPr>
          <w:sz w:val="28"/>
          <w:szCs w:val="28"/>
        </w:rPr>
        <w:t xml:space="preserve">Индекс физического объема обрабатывающего производства составил 108,5% к уровню 2022 года (РФ – 107,5%), оборота розн</w:t>
      </w:r>
      <w:r>
        <w:rPr>
          <w:sz w:val="28"/>
          <w:szCs w:val="28"/>
        </w:rPr>
        <w:t xml:space="preserve">ичной торговли – 110,6% (РФ</w:t>
      </w:r>
      <w:r>
        <w:rPr>
          <w:sz w:val="28"/>
          <w:szCs w:val="28"/>
        </w:rPr>
        <w:t xml:space="preserve"> – 106,4%), объема работ, выполненных по виду деятельности «Строительство» – 115,6% (РФ – 107,9%) и ввода в действие объектов жилого назначения – 134,4% (РФ – 107,5%).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firstLine="709"/>
        <w:jc w:val="both"/>
        <w:rPr>
          <w:sz w:val="28"/>
        </w:rPr>
      </w:pPr>
      <w:r>
        <w:rPr>
          <w:sz w:val="28"/>
        </w:rPr>
        <w:t xml:space="preserve">Мероприятия по содействию занятости населения способствовали </w:t>
      </w:r>
      <w:r>
        <w:rPr>
          <w:sz w:val="28"/>
        </w:rPr>
        <w:t xml:space="preserve">снижению уровня официальной безработицы с 0,9% от численности рабочей силы на 1 января 2023 года до 0,6% на 1 января 2024 года.</w:t>
      </w:r>
      <w:r>
        <w:rPr>
          <w:sz w:val="28"/>
          <w:szCs w:val="28"/>
        </w:rPr>
        <w:t xml:space="preserve"> При содействии учреждений занятости населения трудоустроено 78,2% обратившихся или 38,2 тыс. граждан, </w:t>
      </w:r>
      <w:r>
        <w:rPr>
          <w:sz w:val="28"/>
          <w:szCs w:val="28"/>
          <w:highlight w:val="white"/>
        </w:rPr>
        <w:t xml:space="preserve">открыли собственное дело </w:t>
      </w:r>
      <w:r>
        <w:rPr>
          <w:sz w:val="28"/>
          <w:szCs w:val="28"/>
        </w:rPr>
        <w:t xml:space="preserve">3,1 тыс. </w:t>
      </w:r>
      <w:r>
        <w:rPr>
          <w:sz w:val="28"/>
          <w:szCs w:val="28"/>
          <w:highlight w:val="white"/>
        </w:rPr>
        <w:t xml:space="preserve">безработных граждан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161 человек получил финансовую помощь на осуществление предпринимательской деятельности. </w:t>
      </w:r>
      <w:r>
        <w:rPr>
          <w:sz w:val="28"/>
          <w:szCs w:val="28"/>
        </w:rPr>
        <w:t xml:space="preserve">Удалось не допустить массовых и незаконных сокращений работников. Каждый третий работник, оказавшийся под угрозой сокращения, остался на своем рабочем месте, это боле</w:t>
      </w:r>
      <w:r>
        <w:rPr>
          <w:sz w:val="28"/>
          <w:szCs w:val="28"/>
        </w:rPr>
        <w:t xml:space="preserve">е 1,5 тыс. человек. Услуги по содействию в поиске подходящей работы оказаны 15,4 тыс. гражданам, испытывающим трудности в поиске работы (инвалидам; </w:t>
      </w:r>
      <w:r>
        <w:rPr>
          <w:sz w:val="28"/>
          <w:szCs w:val="28"/>
        </w:rPr>
        <w:t xml:space="preserve">несовершеннолетним; одиноким и многодетным родителям, воспитывающим несовершеннолетних детей; лицам </w:t>
      </w:r>
      <w:r>
        <w:rPr>
          <w:sz w:val="28"/>
          <w:szCs w:val="28"/>
        </w:rPr>
        <w:t xml:space="preserve">предпенс</w:t>
      </w:r>
      <w:r>
        <w:rPr>
          <w:sz w:val="28"/>
          <w:szCs w:val="28"/>
        </w:rPr>
        <w:t xml:space="preserve">ионного</w:t>
      </w:r>
      <w:r>
        <w:rPr>
          <w:sz w:val="28"/>
          <w:szCs w:val="28"/>
        </w:rPr>
        <w:t xml:space="preserve"> возраста, беженцам и вынужденным переселенцам и др.), из них трудоустроено 8,7 тыс. граждан.</w:t>
      </w:r>
      <w:r>
        <w:rPr>
          <w:sz w:val="28"/>
        </w:rPr>
      </w:r>
      <w:r>
        <w:rPr>
          <w:sz w:val="28"/>
        </w:rPr>
      </w:r>
    </w:p>
    <w:p>
      <w:pPr>
        <w:widowControl w:val="off"/>
        <w:ind w:firstLine="709"/>
        <w:jc w:val="both"/>
        <w:rPr>
          <w:sz w:val="28"/>
          <w:highlight w:val="white"/>
        </w:rPr>
      </w:pPr>
      <w:r>
        <w:rPr>
          <w:sz w:val="28"/>
          <w:szCs w:val="28"/>
        </w:rPr>
        <w:t xml:space="preserve">Обязательства </w:t>
      </w:r>
      <w:r>
        <w:rPr>
          <w:sz w:val="28"/>
        </w:rPr>
        <w:t xml:space="preserve">нового раздела </w:t>
      </w:r>
      <w:r>
        <w:rPr>
          <w:sz w:val="28"/>
          <w:szCs w:val="28"/>
        </w:rPr>
        <w:t xml:space="preserve">«Молодежная политика», направленные на создание условий для реализации профессионального, трудового и предпринимательского пот</w:t>
      </w:r>
      <w:r>
        <w:rPr>
          <w:sz w:val="28"/>
          <w:szCs w:val="28"/>
        </w:rPr>
        <w:t xml:space="preserve">енциала молодежи, выполнялись в рамках региональной программы Новосибирской области «Содействие занятости молодежи в Новосибирской области на период до 2030 года». В 2023 году оказано содействие в поиске подходящей работы 20,7 тыс. гражданам в возрасте 14-</w:t>
      </w:r>
      <w:r>
        <w:rPr>
          <w:sz w:val="28"/>
          <w:szCs w:val="28"/>
        </w:rPr>
        <w:t xml:space="preserve">35 лет, в том числе 428 выпускникам профессиональных образовательных организаций. </w:t>
      </w:r>
      <w:r>
        <w:rPr>
          <w:sz w:val="28"/>
          <w:highlight w:val="white"/>
        </w:rPr>
        <w:t xml:space="preserve">На профессиональное обучение востребованным на рынке труда профессиям направлено 843 безработных из числа граждан молодого возраста, единовременную помощь на организацию собственно</w:t>
      </w:r>
      <w:r>
        <w:rPr>
          <w:sz w:val="28"/>
          <w:highlight w:val="white"/>
        </w:rPr>
        <w:t xml:space="preserve">го дела в размере до 350 тыс. рублей получили 52 молодых человека.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widowControl w:val="off"/>
        <w:ind w:firstLine="709"/>
        <w:jc w:val="both"/>
        <w:rPr>
          <w:i w:val="0"/>
          <w:iCs w:val="0"/>
          <w:sz w:val="28"/>
          <w:szCs w:val="28"/>
          <w:highlight w:val="white"/>
          <w14:ligatures w14:val="none"/>
        </w:rPr>
      </w:pP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Новосибирским областным союзом организаций профсоюзов «Федерация профсоюзов Новосибирской области»</w:t>
      </w:r>
      <w:r>
        <w:rPr>
          <w:i w:val="0"/>
          <w:iCs w:val="0"/>
          <w:sz w:val="28"/>
          <w:szCs w:val="28"/>
          <w:highlight w:val="white"/>
        </w:rPr>
        <w:t xml:space="preserve"> (далее – ФП НСО) при поддержке Фонда президентских грантов Российской Федерации в 2023 году реализовывался проект «Правильный старт». Проект направлен на повышение </w:t>
      </w:r>
      <w:r>
        <w:rPr>
          <w:i w:val="0"/>
          <w:iCs w:val="0"/>
          <w:sz w:val="28"/>
          <w:szCs w:val="28"/>
          <w:highlight w:val="white"/>
        </w:rPr>
        <w:t xml:space="preserve">степени правовой готовности студентов выпускных курсов организаций среднего профессионального образования Новосибирской области</w:t>
      </w:r>
      <w:r>
        <w:rPr>
          <w:i w:val="0"/>
          <w:iCs w:val="0"/>
          <w:sz w:val="28"/>
          <w:szCs w:val="28"/>
          <w:highlight w:val="white"/>
        </w:rPr>
        <w:t xml:space="preserve"> к началу трудовой деятельности. В проекте участвуют более 600 студентов из 11 колледжей города Новосибирска, </w:t>
      </w:r>
      <w:r>
        <w:rPr>
          <w:i w:val="0"/>
          <w:iCs w:val="0"/>
          <w:sz w:val="28"/>
          <w:szCs w:val="28"/>
          <w:highlight w:val="white"/>
        </w:rPr>
        <w:t xml:space="preserve">Маслянинского</w:t>
      </w:r>
      <w:r>
        <w:rPr>
          <w:i w:val="0"/>
          <w:iCs w:val="0"/>
          <w:sz w:val="28"/>
          <w:szCs w:val="28"/>
          <w:highlight w:val="white"/>
        </w:rPr>
        <w:t xml:space="preserve">, </w:t>
      </w:r>
      <w:r>
        <w:rPr>
          <w:i w:val="0"/>
          <w:iCs w:val="0"/>
          <w:sz w:val="28"/>
          <w:szCs w:val="28"/>
          <w:highlight w:val="white"/>
        </w:rPr>
        <w:t xml:space="preserve">Чулымского</w:t>
      </w:r>
      <w:r>
        <w:rPr>
          <w:i w:val="0"/>
          <w:iCs w:val="0"/>
          <w:sz w:val="28"/>
          <w:szCs w:val="28"/>
          <w:highlight w:val="white"/>
        </w:rPr>
        <w:t xml:space="preserve">, </w:t>
      </w:r>
      <w:r>
        <w:rPr>
          <w:i w:val="0"/>
          <w:iCs w:val="0"/>
          <w:sz w:val="28"/>
          <w:szCs w:val="28"/>
          <w:highlight w:val="white"/>
        </w:rPr>
        <w:t xml:space="preserve">Черепановского</w:t>
      </w:r>
      <w:r>
        <w:rPr>
          <w:i w:val="0"/>
          <w:iCs w:val="0"/>
          <w:sz w:val="28"/>
          <w:szCs w:val="28"/>
          <w:highlight w:val="white"/>
        </w:rPr>
        <w:t xml:space="preserve"> и </w:t>
      </w:r>
      <w:r>
        <w:rPr>
          <w:i w:val="0"/>
          <w:iCs w:val="0"/>
          <w:sz w:val="28"/>
          <w:szCs w:val="28"/>
          <w:highlight w:val="white"/>
        </w:rPr>
        <w:t xml:space="preserve">Искитимского</w:t>
      </w:r>
      <w:r>
        <w:rPr>
          <w:i w:val="0"/>
          <w:iCs w:val="0"/>
          <w:sz w:val="28"/>
          <w:szCs w:val="28"/>
          <w:highlight w:val="white"/>
        </w:rPr>
        <w:t xml:space="preserve"> районов.</w:t>
      </w:r>
      <w:r>
        <w:rPr>
          <w:i w:val="0"/>
          <w:iCs w:val="0"/>
          <w:sz w:val="28"/>
          <w:szCs w:val="28"/>
          <w:highlight w:val="white"/>
          <w14:ligatures w14:val="none"/>
        </w:rPr>
      </w:r>
      <w:r>
        <w:rPr>
          <w:i w:val="0"/>
          <w:iCs w:val="0"/>
          <w:sz w:val="28"/>
          <w:szCs w:val="28"/>
          <w:highlight w:val="white"/>
          <w14:ligatures w14:val="none"/>
        </w:rPr>
      </w:r>
    </w:p>
    <w:p>
      <w:pPr>
        <w:widowControl w:val="off"/>
        <w:ind w:firstLine="709"/>
        <w:jc w:val="both"/>
        <w:rPr>
          <w:i w:val="0"/>
          <w:iCs w:val="0"/>
          <w:sz w:val="28"/>
        </w:rPr>
      </w:pPr>
      <w:r>
        <w:rPr>
          <w:i w:val="0"/>
          <w:iCs w:val="0"/>
          <w:sz w:val="28"/>
          <w:szCs w:val="28"/>
        </w:rPr>
        <w:t xml:space="preserve">В 2023 году при участии и по инициативе молодежных советов профсоюзных организаций проведен ряд мероприятий </w:t>
      </w:r>
      <w:r>
        <w:rPr>
          <w:i w:val="0"/>
          <w:iCs w:val="0"/>
          <w:sz w:val="28"/>
          <w:szCs w:val="28"/>
        </w:rPr>
        <w:t xml:space="preserve">профориентационной</w:t>
      </w:r>
      <w:r>
        <w:rPr>
          <w:i w:val="0"/>
          <w:iCs w:val="0"/>
          <w:sz w:val="28"/>
          <w:szCs w:val="28"/>
        </w:rPr>
        <w:t xml:space="preserve">, образовательной, патриотической, спортивно-оздоровительной и просветительской направленности.</w:t>
      </w:r>
      <w:r>
        <w:rPr>
          <w:i w:val="0"/>
          <w:iCs w:val="0"/>
          <w:sz w:val="28"/>
        </w:rPr>
      </w:r>
      <w:r>
        <w:rPr>
          <w:i w:val="0"/>
          <w:iCs w:val="0"/>
          <w:sz w:val="28"/>
        </w:rPr>
      </w:r>
    </w:p>
    <w:p>
      <w:pPr>
        <w:keepNext/>
        <w:widowControl w:val="o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Реализовывались мероприятия, направленные на обеспечение роста денежных доходов, заработной платы и соблюдение основных государственных гарантий по оплате труда работников, снижение уровня</w:t>
      </w:r>
      <w:r>
        <w:rPr>
          <w:sz w:val="28"/>
          <w:szCs w:val="28"/>
        </w:rPr>
        <w:t xml:space="preserve"> бедности населения.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keepNext/>
        <w:widowControl w:val="o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Суммарный объем среднедушевых денежных доходов населения Новосибирской области в январе-сентябре 2023 года превысил на 14% показатель соответствующего периода 2022 года и составил 43607,5 рубля.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повышения уровня реа</w:t>
      </w:r>
      <w:r>
        <w:rPr>
          <w:sz w:val="28"/>
          <w:szCs w:val="28"/>
        </w:rPr>
        <w:t xml:space="preserve">льного содержания заработной платы работников организаций в 2023 году дважды проведена индексация заработной платы работников государственных и муниципальных учреждений Новосибирской области: с 1 августа – на 9,7%, с 1 октября – на 7,5%. За 9 месяцев средн</w:t>
      </w:r>
      <w:r>
        <w:rPr>
          <w:sz w:val="28"/>
          <w:szCs w:val="28"/>
        </w:rPr>
        <w:t xml:space="preserve">емесячная заработная плата работников бюджетной сферы увеличилась по сравнению с аналогичным периодом 2022 года на 14,1% и составила 55309,5 рубля.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целом среднемесячная номинальная начисленная заработная плата работников организаций Новосибирской области</w:t>
      </w:r>
      <w:r>
        <w:rPr>
          <w:rFonts w:eastAsia="Calibri"/>
          <w:sz w:val="28"/>
          <w:szCs w:val="28"/>
        </w:rPr>
        <w:t xml:space="preserve"> в январе-ноябре 2023 года составила 60174,8 рубля, </w:t>
      </w:r>
      <w:r>
        <w:rPr>
          <w:sz w:val="28"/>
          <w:szCs w:val="28"/>
        </w:rPr>
        <w:t xml:space="preserve">увеличившись по сравнению с январем-ноябрем 2022 года на 17,6%. Индекс реальной начисленной заработной платы составил 112,4%. </w:t>
      </w:r>
      <w:r>
        <w:rPr>
          <w:rFonts w:eastAsia="Calibri"/>
          <w:sz w:val="28"/>
          <w:szCs w:val="28"/>
        </w:rPr>
        <w:t xml:space="preserve">Рост среднемесячной номинальной начисленной заработной платы зафиксирован во в</w:t>
      </w:r>
      <w:r>
        <w:rPr>
          <w:rFonts w:eastAsia="Calibri"/>
          <w:sz w:val="28"/>
          <w:szCs w:val="28"/>
        </w:rPr>
        <w:t xml:space="preserve">сех видах экономической деятельности.</w:t>
      </w:r>
      <w:r>
        <w:t xml:space="preserve"> </w:t>
      </w:r>
      <w:r>
        <w:rPr>
          <w:rFonts w:eastAsia="Calibri"/>
          <w:sz w:val="28"/>
          <w:szCs w:val="28"/>
        </w:rPr>
        <w:t xml:space="preserve">В отраслях социальной сферы среднемесячная номинальная начисленная заработная плата увеличилась: в сфере </w:t>
      </w:r>
      <w:r>
        <w:rPr>
          <w:rFonts w:eastAsia="Calibri"/>
          <w:sz w:val="28"/>
          <w:szCs w:val="28"/>
        </w:rPr>
        <w:t xml:space="preserve">здравоохранения и социальных услуг – на 16,3%, составив 58800,3 рубля; в образовании – на 15,7%, составив 5</w:t>
      </w:r>
      <w:r>
        <w:rPr>
          <w:rFonts w:eastAsia="Calibri"/>
          <w:sz w:val="28"/>
          <w:szCs w:val="28"/>
        </w:rPr>
        <w:t xml:space="preserve">1080,5 рубля; в сфере культуры, спорта, организации досуга и развлечений – на 15%, составив 57632,6 рубля.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Системная работа по </w:t>
      </w:r>
      <w:r>
        <w:rPr>
          <w:sz w:val="28"/>
          <w:szCs w:val="28"/>
        </w:rPr>
        <w:t xml:space="preserve">ликвидации задолженности по выплате заработной платы работникам обеспечила выплату в 2023 году более 360 </w:t>
      </w:r>
      <w:r>
        <w:rPr>
          <w:sz w:val="28"/>
          <w:szCs w:val="28"/>
        </w:rPr>
        <w:t xml:space="preserve">млн</w:t>
      </w:r>
      <w:r>
        <w:rPr>
          <w:sz w:val="28"/>
          <w:szCs w:val="28"/>
        </w:rPr>
        <w:t xml:space="preserve"> рублей задержанно</w:t>
      </w:r>
      <w:r>
        <w:rPr>
          <w:sz w:val="28"/>
          <w:szCs w:val="28"/>
        </w:rPr>
        <w:t xml:space="preserve">й заработной платы, ликвидированы долги по заработной плате в 17 организациях, в том числе в 5 муниципальных предприятиях. Легализованы трудовые отношения более чем с 20 тыс. работниками.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Реализовывались мероприятия по социальной поддержке граждан и разви</w:t>
      </w:r>
      <w:r>
        <w:rPr>
          <w:rFonts w:eastAsia="Calibri"/>
          <w:sz w:val="28"/>
          <w:szCs w:val="28"/>
        </w:rPr>
        <w:t xml:space="preserve">тию социального контракта, организации социальной адаптации малоимущих граждан в соответствии с региональной программой </w:t>
      </w:r>
      <w:r>
        <w:rPr>
          <w:sz w:val="28"/>
          <w:szCs w:val="28"/>
        </w:rPr>
        <w:t xml:space="preserve">«Снижение доли населения с денежными доходами ниже величины прожиточного минимума в Новосибирской области на период до 2030 год</w:t>
      </w:r>
      <w:r>
        <w:rPr>
          <w:rFonts w:eastAsia="Calibri"/>
          <w:sz w:val="28"/>
          <w:szCs w:val="28"/>
        </w:rPr>
        <w:t xml:space="preserve">а».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Соци</w:t>
      </w:r>
      <w:r>
        <w:rPr>
          <w:sz w:val="28"/>
        </w:rPr>
        <w:t xml:space="preserve">альные выплаты, пособия и компенсации получили более 937 тыс. </w:t>
      </w:r>
      <w:r>
        <w:rPr>
          <w:rFonts w:eastAsia="Calibri"/>
          <w:sz w:val="28"/>
          <w:szCs w:val="28"/>
        </w:rPr>
        <w:t xml:space="preserve">человек.</w:t>
      </w:r>
      <w:r>
        <w:rPr>
          <w:sz w:val="28"/>
        </w:rPr>
        <w:t xml:space="preserve"> Более 7,4 тыс. граждан получили адресную помощь на условиях социального контракта. На предоставление мер социальной поддержки из федерального и областного бюджетов направлено более 14</w:t>
      </w:r>
      <w:r>
        <w:rPr>
          <w:sz w:val="28"/>
        </w:rPr>
        <w:t xml:space="preserve"> </w:t>
      </w:r>
      <w:r>
        <w:rPr>
          <w:sz w:val="28"/>
        </w:rPr>
        <w:t xml:space="preserve">млрд</w:t>
      </w:r>
      <w:r>
        <w:rPr>
          <w:sz w:val="28"/>
        </w:rPr>
        <w:t xml:space="preserve"> рублей. </w:t>
      </w:r>
      <w:r>
        <w:rPr>
          <w:color w:val="212121"/>
          <w:sz w:val="28"/>
        </w:rPr>
        <w:t xml:space="preserve">По предварительной оценке, уровень бедности в Новосибирской области в 2023 году составит 11,1%, что на 0,2 процентного пункта ниже уровня 2022 года.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жизни и здоровья работников в процессе трудовой деятельности реализовывались </w:t>
      </w:r>
      <w:r>
        <w:rPr>
          <w:sz w:val="28"/>
          <w:szCs w:val="28"/>
        </w:rPr>
        <w:t xml:space="preserve">обязательства по формированию эффективной системы управления охраной труда. По сравнению с 2022 годом достигнуто снижение </w:t>
      </w:r>
      <w:r>
        <w:rPr>
          <w:bCs/>
          <w:sz w:val="28"/>
          <w:szCs w:val="28"/>
        </w:rPr>
        <w:t xml:space="preserve">к</w:t>
      </w:r>
      <w:r>
        <w:rPr>
          <w:sz w:val="28"/>
          <w:szCs w:val="28"/>
        </w:rPr>
        <w:t xml:space="preserve">оличества пострадавших от несчастных случаев на производстве на 16,4%. Специальная оценка условий труда проведена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639 тыс. рабочих местах, из них 80% – рабочие места с оптимальными и допустимыми условиями труда. Прошли </w:t>
      </w:r>
      <w:r>
        <w:rPr>
          <w:sz w:val="28"/>
          <w:szCs w:val="28"/>
        </w:rPr>
        <w:t xml:space="preserve">обучение по охране</w:t>
      </w:r>
      <w:r>
        <w:rPr>
          <w:sz w:val="28"/>
          <w:szCs w:val="28"/>
        </w:rPr>
        <w:t xml:space="preserve"> труда 30,5 тыс. работников организаций, в том числе 6,5 тыс. руководителей.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i w:val="0"/>
          <w:iCs w:val="0"/>
          <w:sz w:val="28"/>
          <w:szCs w:val="28"/>
        </w:rPr>
      </w:pP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В 2023 году инспекцией труда ФП НСО проведено 16 проверок соблюдения требований охраны труда – в соответствии с поступившими заявками членских организаций и/или жалоб работников предприятий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г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орода Новосибирска и муниципальных районов. Установлено 92 нарушения требований охраны труда, выдано 16 представлений об устранении выявленных нарушений.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Продолжалась работа по дальнейшему развитию коллективно-договорного регулирования на территории Новосибирской области. Действуют </w:t>
      </w:r>
      <w:r>
        <w:rPr>
          <w:sz w:val="28"/>
          <w:szCs w:val="28"/>
        </w:rPr>
        <w:t xml:space="preserve">12 региональных отраслевых соглашений, 34 территориальных соглашения, 97 территориальных отраслевых соглашений, 5241 зарегистри</w:t>
      </w:r>
      <w:r>
        <w:rPr>
          <w:sz w:val="28"/>
          <w:szCs w:val="28"/>
        </w:rPr>
        <w:t xml:space="preserve">рованный коллективный договор</w:t>
      </w:r>
      <w:r>
        <w:rPr>
          <w:rFonts w:eastAsia="Calibri"/>
          <w:sz w:val="28"/>
          <w:szCs w:val="28"/>
        </w:rPr>
        <w:t xml:space="preserve">. В коллективно-договорные отношения вовлечено 82% работников крупных и средних организаций. Осуществлен </w:t>
      </w:r>
      <w:r>
        <w:rPr>
          <w:rFonts w:eastAsia="Calibri"/>
          <w:sz w:val="28"/>
          <w:szCs w:val="28"/>
        </w:rPr>
        <w:t xml:space="preserve">контроль за</w:t>
      </w:r>
      <w:r>
        <w:rPr>
          <w:rFonts w:eastAsia="Calibri"/>
          <w:sz w:val="28"/>
          <w:szCs w:val="28"/>
        </w:rPr>
        <w:t xml:space="preserve"> выполнением 369 коллективных договоров и соглашений, оказана методическая и практическая помощь по их заключен</w:t>
      </w:r>
      <w:r>
        <w:rPr>
          <w:rFonts w:eastAsia="Calibri"/>
          <w:sz w:val="28"/>
          <w:szCs w:val="28"/>
        </w:rPr>
        <w:t xml:space="preserve">ию.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Реализация обязательств Регионального соглашения способствовала сохранению социальной стабильности в регионе, </w:t>
      </w:r>
      <w:r>
        <w:rPr>
          <w:sz w:val="28"/>
          <w:szCs w:val="28"/>
        </w:rPr>
        <w:t xml:space="preserve">что подтверждается отсутствием зарегистрированных забастовок и коллективных трудовых споро</w:t>
      </w:r>
      <w:r>
        <w:rPr>
          <w:sz w:val="28"/>
          <w:szCs w:val="28"/>
        </w:rPr>
        <w:t xml:space="preserve">в.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Информацию о выполнении в 20</w:t>
      </w:r>
      <w:r>
        <w:rPr>
          <w:sz w:val="28"/>
          <w:szCs w:val="28"/>
        </w:rPr>
        <w:t xml:space="preserve">23 году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на 2023–2025 годы принять к сведению.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Сторонам социального партнерства продолжить выполне</w:t>
      </w:r>
      <w:r>
        <w:rPr>
          <w:sz w:val="28"/>
          <w:szCs w:val="28"/>
        </w:rPr>
        <w:t xml:space="preserve">ние взятых обязательств Регионального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</w:t>
            </w:r>
            <w:r>
              <w:rPr>
                <w:sz w:val="28"/>
                <w:szCs w:val="28"/>
                <w:lang w:eastAsia="en-US"/>
              </w:rPr>
              <w:t xml:space="preserve">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/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51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link w:val="693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link w:val="694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link w:val="69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5"/>
    <w:link w:val="713"/>
    <w:uiPriority w:val="10"/>
    <w:rPr>
      <w:sz w:val="48"/>
      <w:szCs w:val="48"/>
    </w:rPr>
  </w:style>
  <w:style w:type="character" w:styleId="688" w:customStyle="1">
    <w:name w:val="Subtitle Char"/>
    <w:basedOn w:val="675"/>
    <w:link w:val="715"/>
    <w:uiPriority w:val="11"/>
    <w:rPr>
      <w:sz w:val="24"/>
      <w:szCs w:val="24"/>
    </w:rPr>
  </w:style>
  <w:style w:type="character" w:styleId="689" w:customStyle="1">
    <w:name w:val="Quote Char"/>
    <w:link w:val="717"/>
    <w:uiPriority w:val="29"/>
    <w:rPr>
      <w:i/>
    </w:rPr>
  </w:style>
  <w:style w:type="character" w:styleId="690" w:customStyle="1">
    <w:name w:val="Intense Quote Char"/>
    <w:link w:val="719"/>
    <w:uiPriority w:val="30"/>
    <w:rPr>
      <w:i/>
    </w:rPr>
  </w:style>
  <w:style w:type="character" w:styleId="691" w:customStyle="1">
    <w:name w:val="Footnote Text Char"/>
    <w:link w:val="854"/>
    <w:uiPriority w:val="99"/>
    <w:rPr>
      <w:sz w:val="18"/>
    </w:rPr>
  </w:style>
  <w:style w:type="character" w:styleId="692" w:customStyle="1">
    <w:name w:val="Endnote Text Char"/>
    <w:link w:val="857"/>
    <w:uiPriority w:val="99"/>
    <w:rPr>
      <w:sz w:val="20"/>
    </w:rPr>
  </w:style>
  <w:style w:type="paragraph" w:styleId="693" w:customStyle="1">
    <w:name w:val="Heading 1"/>
    <w:basedOn w:val="674"/>
    <w:next w:val="674"/>
    <w:link w:val="70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 w:customStyle="1">
    <w:name w:val="Heading 2"/>
    <w:basedOn w:val="674"/>
    <w:next w:val="674"/>
    <w:link w:val="70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 w:customStyle="1">
    <w:name w:val="Heading 3"/>
    <w:basedOn w:val="674"/>
    <w:next w:val="674"/>
    <w:link w:val="70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 w:customStyle="1">
    <w:name w:val="Heading 4"/>
    <w:basedOn w:val="674"/>
    <w:next w:val="674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Heading 5"/>
    <w:basedOn w:val="674"/>
    <w:next w:val="674"/>
    <w:link w:val="70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8" w:customStyle="1">
    <w:name w:val="Heading 6"/>
    <w:basedOn w:val="674"/>
    <w:next w:val="674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Heading 7"/>
    <w:basedOn w:val="674"/>
    <w:next w:val="674"/>
    <w:link w:val="70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 w:customStyle="1">
    <w:name w:val="Heading 8"/>
    <w:basedOn w:val="674"/>
    <w:next w:val="674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Heading 9"/>
    <w:basedOn w:val="674"/>
    <w:next w:val="674"/>
    <w:link w:val="71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4"/>
    <w:uiPriority w:val="34"/>
    <w:qFormat/>
    <w:pPr>
      <w:ind w:left="720"/>
      <w:contextualSpacing/>
    </w:pPr>
  </w:style>
  <w:style w:type="paragraph" w:styleId="712">
    <w:name w:val="No Spacing"/>
    <w:uiPriority w:val="1"/>
    <w:qFormat/>
  </w:style>
  <w:style w:type="paragraph" w:styleId="713">
    <w:name w:val="Title"/>
    <w:basedOn w:val="674"/>
    <w:next w:val="674"/>
    <w:link w:val="71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 w:customStyle="1">
    <w:name w:val="Header"/>
    <w:basedOn w:val="674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Header Char"/>
    <w:uiPriority w:val="99"/>
  </w:style>
  <w:style w:type="paragraph" w:styleId="723" w:customStyle="1">
    <w:name w:val="Footer"/>
    <w:basedOn w:val="674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 w:customStyle="1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676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74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74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74"/>
    <w:next w:val="674"/>
    <w:uiPriority w:val="39"/>
    <w:unhideWhenUsed/>
    <w:pPr>
      <w:spacing w:after="57"/>
    </w:pPr>
  </w:style>
  <w:style w:type="paragraph" w:styleId="861">
    <w:name w:val="toc 2"/>
    <w:basedOn w:val="674"/>
    <w:next w:val="674"/>
    <w:uiPriority w:val="39"/>
    <w:unhideWhenUsed/>
    <w:pPr>
      <w:spacing w:after="57"/>
      <w:ind w:left="283"/>
    </w:pPr>
  </w:style>
  <w:style w:type="paragraph" w:styleId="862">
    <w:name w:val="toc 3"/>
    <w:basedOn w:val="674"/>
    <w:next w:val="674"/>
    <w:uiPriority w:val="39"/>
    <w:unhideWhenUsed/>
    <w:pPr>
      <w:spacing w:after="57"/>
      <w:ind w:left="567"/>
    </w:pPr>
  </w:style>
  <w:style w:type="paragraph" w:styleId="863">
    <w:name w:val="toc 4"/>
    <w:basedOn w:val="674"/>
    <w:next w:val="674"/>
    <w:uiPriority w:val="39"/>
    <w:unhideWhenUsed/>
    <w:pPr>
      <w:spacing w:after="57"/>
      <w:ind w:left="850"/>
    </w:pPr>
  </w:style>
  <w:style w:type="paragraph" w:styleId="864">
    <w:name w:val="toc 5"/>
    <w:basedOn w:val="674"/>
    <w:next w:val="674"/>
    <w:uiPriority w:val="39"/>
    <w:unhideWhenUsed/>
    <w:pPr>
      <w:spacing w:after="57"/>
      <w:ind w:left="1134"/>
    </w:pPr>
  </w:style>
  <w:style w:type="paragraph" w:styleId="865">
    <w:name w:val="toc 6"/>
    <w:basedOn w:val="674"/>
    <w:next w:val="674"/>
    <w:uiPriority w:val="39"/>
    <w:unhideWhenUsed/>
    <w:pPr>
      <w:spacing w:after="57"/>
      <w:ind w:left="1417"/>
    </w:pPr>
  </w:style>
  <w:style w:type="paragraph" w:styleId="866">
    <w:name w:val="toc 7"/>
    <w:basedOn w:val="674"/>
    <w:next w:val="674"/>
    <w:uiPriority w:val="39"/>
    <w:unhideWhenUsed/>
    <w:pPr>
      <w:spacing w:after="57"/>
      <w:ind w:left="1701"/>
    </w:pPr>
  </w:style>
  <w:style w:type="paragraph" w:styleId="867">
    <w:name w:val="toc 8"/>
    <w:basedOn w:val="674"/>
    <w:next w:val="674"/>
    <w:uiPriority w:val="39"/>
    <w:unhideWhenUsed/>
    <w:pPr>
      <w:spacing w:after="57"/>
      <w:ind w:left="1984"/>
    </w:pPr>
  </w:style>
  <w:style w:type="paragraph" w:styleId="868">
    <w:name w:val="toc 9"/>
    <w:basedOn w:val="674"/>
    <w:next w:val="674"/>
    <w:uiPriority w:val="39"/>
    <w:unhideWhenUsed/>
    <w:pPr>
      <w:spacing w:after="57"/>
      <w:ind w:left="2268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4"/>
    <w:next w:val="674"/>
    <w:uiPriority w:val="99"/>
    <w:unhideWhenUsed/>
  </w:style>
  <w:style w:type="paragraph" w:styleId="871">
    <w:name w:val="Balloon Text"/>
    <w:basedOn w:val="674"/>
    <w:link w:val="872"/>
    <w:uiPriority w:val="99"/>
    <w:semiHidden/>
    <w:unhideWhenUsed/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3">
    <w:name w:val="Body Text Indent 2"/>
    <w:basedOn w:val="674"/>
    <w:link w:val="874"/>
    <w:pPr>
      <w:ind w:firstLine="709"/>
      <w:jc w:val="both"/>
    </w:pPr>
    <w:rPr>
      <w:sz w:val="28"/>
      <w:szCs w:val="20"/>
    </w:rPr>
  </w:style>
  <w:style w:type="character" w:styleId="874" w:customStyle="1">
    <w:name w:val="Основной текст с отступом 2 Знак"/>
    <w:link w:val="87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5" w:customStyle="1">
    <w:name w:val="Верхний колонтитул Знак"/>
    <w:link w:val="7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 w:customStyle="1">
    <w:name w:val="Нижний колонтитул Знак"/>
    <w:link w:val="7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Body Text Indent 3"/>
    <w:basedOn w:val="674"/>
    <w:link w:val="878"/>
    <w:uiPriority w:val="99"/>
    <w:unhideWhenUsed/>
    <w:pPr>
      <w:spacing w:after="120"/>
      <w:ind w:left="283"/>
    </w:pPr>
    <w:rPr>
      <w:sz w:val="16"/>
      <w:szCs w:val="16"/>
    </w:rPr>
  </w:style>
  <w:style w:type="character" w:styleId="878" w:customStyle="1">
    <w:name w:val="Основной текст с отступом 3 Знак"/>
    <w:link w:val="877"/>
    <w:uiPriority w:val="99"/>
    <w:rPr>
      <w:rFonts w:ascii="Times New Roman" w:hAnsi="Times New Roman" w:eastAsia="Times New Roman"/>
      <w:sz w:val="16"/>
      <w:szCs w:val="16"/>
    </w:rPr>
  </w:style>
  <w:style w:type="paragraph" w:styleId="879">
    <w:name w:val="Body Text"/>
    <w:basedOn w:val="674"/>
    <w:link w:val="880"/>
    <w:uiPriority w:val="99"/>
    <w:unhideWhenUsed/>
    <w:pPr>
      <w:spacing w:after="120"/>
    </w:pPr>
    <w:rPr>
      <w:sz w:val="20"/>
      <w:szCs w:val="20"/>
    </w:rPr>
  </w:style>
  <w:style w:type="character" w:styleId="880" w:customStyle="1">
    <w:name w:val="Основной текст Знак"/>
    <w:link w:val="879"/>
    <w:uiPriority w:val="99"/>
    <w:rPr>
      <w:rFonts w:ascii="Times New Roman" w:hAnsi="Times New Roman" w:eastAsia="Times New Roman"/>
    </w:rPr>
  </w:style>
  <w:style w:type="paragraph" w:styleId="881" w:customStyle="1">
    <w:name w:val="ConsNormal"/>
    <w:pPr>
      <w:widowControl w:val="off"/>
      <w:ind w:firstLine="720"/>
    </w:pPr>
    <w:rPr>
      <w:rFonts w:ascii="Arial" w:hAnsi="Arial" w:eastAsia="Times New Roman"/>
      <w:lang w:eastAsia="ru-RU"/>
    </w:rPr>
  </w:style>
  <w:style w:type="paragraph" w:styleId="882" w:customStyle="1">
    <w:name w:val="Char Знак Знак"/>
    <w:basedOn w:val="674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883" w:customStyle="1">
    <w:name w:val="ConsPlusNormal"/>
    <w:next w:val="879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firstLine="720"/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Людмила Александровна</dc:creator>
  <cp:revision>9</cp:revision>
  <dcterms:created xsi:type="dcterms:W3CDTF">2024-02-20T02:14:00Z</dcterms:created>
  <dcterms:modified xsi:type="dcterms:W3CDTF">2024-02-29T05:39:26Z</dcterms:modified>
  <cp:version>983040</cp:version>
</cp:coreProperties>
</file>