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000" w:firstRow="0" w:lastRow="0" w:firstColumn="0" w:lastColumn="0" w:noHBand="0" w:noVBand="0"/>
      </w:tblPr>
      <w:tblGrid>
        <w:gridCol w:w="1526"/>
        <w:gridCol w:w="6142"/>
        <w:gridCol w:w="540"/>
        <w:gridCol w:w="1260"/>
      </w:tblGrid>
      <w:tr>
        <w:trPr>
          <w:trHeight w:val="2698"/>
        </w:trPr>
        <w:tc>
          <w:tcPr>
            <w:tcW w:w="9468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8955" cy="650240"/>
                      <wp:effectExtent l="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ТРУДА И СОЦИАЛЬНОГО РАЗВИТИЯ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val="68"/>
        </w:trPr>
        <w:tc>
          <w:tcPr>
            <w:tcW w:w="1526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14.08.2019</w:t>
            </w:r>
          </w:p>
        </w:tc>
        <w:tc>
          <w:tcPr>
            <w:tcW w:w="614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877</w:t>
            </w:r>
          </w:p>
        </w:tc>
      </w:tr>
      <w:tr>
        <w:trPr>
          <w:trHeight w:val="347"/>
        </w:trPr>
        <w:tc>
          <w:tcPr>
            <w:tcW w:w="9468" w:type="dxa"/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</w:t>
            </w:r>
          </w:p>
        </w:tc>
      </w:tr>
    </w:tbl>
    <w:p>
      <w:pPr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порядка уведомительной регистрации региональных и региональных отраслевых (межотраслевых) соглашений 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Новосибирской области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изм.</w:t>
      </w:r>
      <w:r>
        <w:rPr>
          <w:rFonts w:ascii="Times New Roman" w:hAnsi="Times New Roman"/>
          <w:sz w:val="24"/>
          <w:szCs w:val="24"/>
        </w:rPr>
        <w:t xml:space="preserve"> приказ министерства труда и социального развития Новосибирской области 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от 17.06.2024 № 1319-НПА)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11" w:tooltip="consultantplus://offline/ref=4A0141B0AD61B34603705432D1725432EF9EF91CE5BED4450BD9DC50C6C191220C025B329B30813DE76F6Du3X4C" w:history="1">
        <w:r>
          <w:rPr>
            <w:rFonts w:ascii="Times New Roman" w:hAnsi="Times New Roman" w:cs="Times New Roman"/>
            <w:bCs/>
            <w:sz w:val="28"/>
            <w:szCs w:val="28"/>
          </w:rPr>
          <w:t xml:space="preserve">постановлением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Правительства Новосибирской области от 01.08.2017 № 296-п «Об утверждении Положения о министерстве труда и социального развития Новосибирской области», в целях проведения уведомительной регистрации региональных и региональных отраслевых (межотраслевых) соглашений на территории Новосибирской области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ПРИКАЗЫВАЮ: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</w:t>
      </w:r>
      <w:r>
        <w:rPr>
          <w:rFonts w:ascii="Times New Roman" w:hAnsi="Times New Roman" w:cs="Times New Roman"/>
          <w:bCs/>
          <w:sz w:val="28"/>
          <w:szCs w:val="28"/>
        </w:rPr>
        <w:t xml:space="preserve"> 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прилагаемый порядок уведомительной регистрации региональных и региональных отраслевых (межотраслевых) соглашений Новосибирской области (далее </w:t>
      </w:r>
      <w:r>
        <w:rPr>
          <w:rFonts w:ascii="Times New Roman" w:hAnsi="Times New Roman" w:cs="Times New Roman"/>
          <w:bCs/>
          <w:sz w:val="28"/>
          <w:szCs w:val="28"/>
        </w:rPr>
        <w:t xml:space="preserve">– 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Порядок).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Отделу социального партнерства и потребительских бюджетов управления труда министерства труда и социального развития Новосибирской области (Петухова С.А.) обеспечить соблюдение Порядка при осуществлении уведомительной регистрации соглашений.</w:t>
      </w:r>
    </w:p>
    <w:p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3. Признать утратившими силу:</w:t>
      </w:r>
    </w:p>
    <w:p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1)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 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приказ департамента труда и занятости Новосибирской области от 25.11.2010 № 584 «Об утверждении административного </w:t>
      </w:r>
      <w:hyperlink r:id="rId12" w:tooltip="file:///C:\Users\psa\Desktop\Приказ%20о%20регистрации%20соглашений.doc#P39" w:anchor="P39" w:history="1">
        <w:r>
          <w:rPr>
            <w:rFonts w:ascii="Times New Roman" w:hAnsi="Times New Roman" w:cs="Times New Roman"/>
            <w:b w:val="0"/>
            <w:bCs/>
            <w:sz w:val="28"/>
            <w:szCs w:val="28"/>
          </w:rPr>
          <w:t xml:space="preserve">регламент</w:t>
        </w:r>
      </w:hyperlink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а министерства труда, занятости и трудовых ресурсов Новосибирской области по исполнению государственной функции по проведению в установленном порядке уведомительной регистрации регионального и отраслевых (межотраслевых) соглашений»;</w:t>
      </w:r>
    </w:p>
    <w:p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2)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 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приказ министерства труда, занятости и трудовых ресурсов Новосибирской области от 31.03.2011 № 140 «О внесении изменений в приказ департамента труда и занятости Новосибирской области от 25.11.2010 № 584»;</w:t>
      </w:r>
    </w:p>
    <w:p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3)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 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приказ министерства труда, занятости и трудовых ресурсов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Новосибирской области от 08.07.2011 № 385 «О внесении изменений в приказ департамента труда и занятости Новосибирской области от 25.11.2010 № 584»;</w:t>
      </w:r>
    </w:p>
    <w:p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4)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 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приказ министерства труда, занятости и трудовых ресурсов Новосибирской области от 23.08.2011 № 498 «О внесении изменений в приказ департамента труда и занятости Новосибирской области от 25.11.2010 № 584»;</w:t>
      </w:r>
    </w:p>
    <w:p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5)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 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приказ министерства труда, занятости и трудовых ресурсов Новосибирской области от 03.04.2012 № 297 «О внесении изменений в приказ департамента труда и занятости Новосибирской области от 25.11.2010 № 584»;</w:t>
      </w:r>
    </w:p>
    <w:p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6)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 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приказ министерства труда, занятости и трудовых ресурсов Новосибирской области от 02.06.2014 № 262 «О внесении изменений в приказ департамента труда и занятости Новосибирской области от 25.11.2010 № 584»;</w:t>
      </w:r>
    </w:p>
    <w:p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7) приказ министерства труда и социального развития Новосибирской области от 16.01.2018 № 30 «Об утверждении порядка уведомительной регистрации региональных и региональных отраслевых (межотраслевых) соглашений Новосибирской области».</w:t>
      </w:r>
    </w:p>
    <w:p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 </w:t>
      </w:r>
      <w:r>
        <w:rPr>
          <w:rFonts w:ascii="Times New Roman" w:hAnsi="Times New Roman"/>
          <w:bCs/>
          <w:sz w:val="28"/>
          <w:szCs w:val="28"/>
        </w:rPr>
        <w:t xml:space="preserve">Контроль за исполнением настоящего приказа возложить на первого заместителя министра труда и социального развития Новосибирской области Москалеву Е.М.</w:t>
      </w:r>
    </w:p>
    <w:p>
      <w:pPr>
        <w:pStyle w:val="afe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>
      <w:pPr>
        <w:pStyle w:val="afe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>
      <w:pPr>
        <w:pStyle w:val="afe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>
      <w:pPr>
        <w:pStyle w:val="afe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Исполняющая обязанности министра </w:t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     Е.В. </w:t>
      </w:r>
      <w:r>
        <w:rPr>
          <w:rFonts w:ascii="Times New Roman" w:hAnsi="Times New Roman"/>
          <w:bCs/>
          <w:sz w:val="28"/>
          <w:szCs w:val="28"/>
        </w:rPr>
        <w:t xml:space="preserve">Бахарева</w:t>
      </w:r>
    </w:p>
    <w:p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>
          <w:headerReference w:type="default" r:id="rId8"/>
          <w:pgSz w:w="11906" w:h="16838"/>
          <w:pgMar w:top="1134" w:right="567" w:bottom="1134" w:left="1418" w:header="709" w:footer="709" w:gutter="0"/>
          <w:cols w:space="708"/>
          <w:docGrid w:linePitch="360"/>
          <w:titlePg/>
        </w:sectPr>
      </w:pPr>
    </w:p>
    <w:p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</w:t>
      </w:r>
    </w:p>
    <w:p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</w:p>
    <w:p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труда</w:t>
      </w:r>
      <w:r>
        <w:rPr>
          <w:rFonts w:ascii="Times New Roman" w:hAnsi="Times New Roman" w:cs="Times New Roman"/>
          <w:sz w:val="28"/>
          <w:szCs w:val="28"/>
        </w:rPr>
        <w:t xml:space="preserve"> и социального развития</w:t>
      </w:r>
    </w:p>
    <w:p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</w:p>
    <w:p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«14» августа 2019 г. № 877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9"/>
      <w:bookmarkEnd w:id="1"/>
    </w:p>
    <w:p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</w:t>
      </w:r>
    </w:p>
    <w:p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УВЕДОМИТЕЛЬНОЙ РЕГИСТРАЦИИ РЕГИОНАЛЬНЫХ И</w:t>
      </w:r>
    </w:p>
    <w:p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РЕГИОНАЛЬНЫХ ОТРАСЛЕВЫХ (МЕЖОТРАСЛЕВЫХ) СОГЛАШЕНИЙ НОВОСИБИРСКОЙ ОБЛАСТИ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. Общие положения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Порядок уведомительной регистрации региональных и региональных отраслевых (межотраслевых) соглашений Новосибирской области (далее - Порядок) разработан  в соответствии со статьей 50 Трудового кодекса Российской Федерации и статьей 25 Закона Новосибирской области от 19.12.1997 № 89-ОЗ «О социальном партнерстве в Новосибирской области» в целях осуществления министерством труда и социального развития Новосибирской области (далее – министерство) полномочий по проведению уведомительной регистрации региональных и региональных отраслевых (межотраслевых) соглашений (далее - соглашений) на территории Новосибирской области.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Уведомительную регистрацию соглашений осуществляет отдел социального партнерства и потребительских бюджетов управления труда министерства труда и социального развития Новосибирской области (далее – отдел).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Уведомительной регистрации подлежат все соглашения, направленные работодателем (представителем работодателя) в министерство.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Результатами уведомительной регистрации соглашения является: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занесение соответствующей информации в журнал регистрации соглашений (приложение № 1 к Порядку);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уведомление о регистрации соглашения (</w:t>
      </w:r>
      <w:hyperlink w:tooltip="#P354" w:anchor="P354" w:history="1">
        <w:r>
          <w:rPr>
            <w:rFonts w:ascii="Times New Roman" w:hAnsi="Times New Roman" w:cs="Times New Roman"/>
            <w:sz w:val="28"/>
            <w:szCs w:val="28"/>
          </w:rPr>
          <w:t xml:space="preserve">приложения № 2, 3 к Порядку)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уведомление об отказе в регистрации соглашения (</w:t>
      </w:r>
      <w:hyperlink w:tooltip="#P354" w:anchor="P354" w:history="1">
        <w:r>
          <w:rPr>
            <w:rFonts w:ascii="Times New Roman" w:hAnsi="Times New Roman" w:cs="Times New Roman"/>
            <w:sz w:val="28"/>
            <w:szCs w:val="28"/>
          </w:rPr>
          <w:t xml:space="preserve">приложение № 4 к Порядку)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отметка о регистрации на титульном листе соглашения (</w:t>
      </w:r>
      <w:hyperlink w:tooltip="#P354" w:anchor="P354" w:history="1">
        <w:r>
          <w:rPr>
            <w:rFonts w:ascii="Times New Roman" w:hAnsi="Times New Roman" w:cs="Times New Roman"/>
            <w:sz w:val="28"/>
            <w:szCs w:val="28"/>
          </w:rPr>
          <w:t xml:space="preserve">приложение № 5 к Порядку)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сообщение Государственной инспекции труда в Новосибирской области о выявленных условиях соглашения, ухудшающих положение работников по сравнению с трудовым законодательством и иными нормативными правовыми актами, содержащими нормы трудового права.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По итогам полугодия и года отдел обобщает информацию о зарегистрированных соглашениях.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Информация о зарегистрированных соглашениях размещается на официальном сайте министерства в сети Интернет.</w:t>
      </w:r>
    </w:p>
    <w:p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. Сроки уведомительной регистрации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Максимально допустимые сроки исполнения уведомительной регистрации соглашения - 15 рабочих дней с момента регистрации поступившего письма об уведомительной регистрации соглашения.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sz w:val="28"/>
          <w:szCs w:val="28"/>
        </w:rPr>
        <w:t xml:space="preserve">. Документы, предоставляемые представителем стороны</w:t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уведомительной регистрации соглашения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0"/>
      <w:bookmarkEnd w:id="2"/>
      <w:r>
        <w:rPr>
          <w:rFonts w:ascii="Times New Roman" w:hAnsi="Times New Roman" w:cs="Times New Roman"/>
          <w:sz w:val="28"/>
          <w:szCs w:val="28"/>
        </w:rPr>
        <w:t xml:space="preserve">8.</w:t>
      </w:r>
      <w:r>
        <w:rPr>
          <w:rFonts w:ascii="Times New Roman" w:hAnsi="Times New Roman" w:cs="Times New Roman"/>
          <w:sz w:val="28"/>
          <w:szCs w:val="28"/>
        </w:rPr>
        <w:t xml:space="preserve"> </w:t>
      </w:r>
      <w:r>
        <w:rPr>
          <w:rFonts w:ascii="Times New Roman" w:hAnsi="Times New Roman" w:cs="Times New Roman"/>
          <w:sz w:val="28"/>
          <w:szCs w:val="28"/>
        </w:rPr>
        <w:t xml:space="preserve">Для осуществления уведомительной регистрации соглашения в министерство в семидневный срок со дня подписания соглашения сторонами представляются следующие документы: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</w:rPr>
        <w:t xml:space="preserve"> </w:t>
      </w:r>
      <w:r>
        <w:rPr>
          <w:rFonts w:ascii="Times New Roman" w:hAnsi="Times New Roman" w:cs="Times New Roman"/>
          <w:sz w:val="28"/>
          <w:szCs w:val="28"/>
        </w:rPr>
        <w:t xml:space="preserve">письмо об уведомительной регистрации соглашения на имя министра труда и социального развития;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соглашение в количестве, равном количеству сторон соглашения плюс экземпляр, который должен храниться в отделе. При оформлении титульного листа соглашения следует предусмотреть отметку о регистрации (</w:t>
      </w:r>
      <w:hyperlink w:tooltip="#P445" w:anchor="P445" w:history="1">
        <w:r>
          <w:rPr>
            <w:rFonts w:ascii="Times New Roman" w:hAnsi="Times New Roman" w:cs="Times New Roman"/>
            <w:sz w:val="28"/>
            <w:szCs w:val="28"/>
          </w:rPr>
          <w:t xml:space="preserve">приложение №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Порядку);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регистрационная </w:t>
      </w:r>
      <w:hyperlink w:tooltip="#P476" w:anchor="P476" w:history="1">
        <w:r>
          <w:rPr>
            <w:rFonts w:ascii="Times New Roman" w:hAnsi="Times New Roman" w:cs="Times New Roman"/>
            <w:sz w:val="28"/>
            <w:szCs w:val="28"/>
          </w:rPr>
          <w:t xml:space="preserve">карта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соглашения (приложение № 6 к Порядку).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</w:t>
      </w:r>
      <w:r>
        <w:rPr>
          <w:rFonts w:ascii="Times New Roman" w:hAnsi="Times New Roman" w:cs="Times New Roman"/>
          <w:sz w:val="28"/>
          <w:szCs w:val="28"/>
        </w:rPr>
        <w:t xml:space="preserve"> </w:t>
      </w:r>
      <w:r>
        <w:rPr>
          <w:rFonts w:ascii="Times New Roman" w:hAnsi="Times New Roman" w:cs="Times New Roman"/>
          <w:sz w:val="28"/>
          <w:szCs w:val="28"/>
        </w:rPr>
        <w:t xml:space="preserve">В случае предоставления не всех документов или предоставления документов, не соответствующих требованиям к оформлению, и в течение 10 рабочих дней требования, предъявляемые к документам в пункте 8, не выполнены, то уведомительная регистрация соглашения не осуществляется. Представителям сторон соглашения направляется уведомление об отказе в регистрации соглашения (</w:t>
      </w:r>
      <w:hyperlink w:tooltip="#P354" w:anchor="P354" w:history="1">
        <w:r>
          <w:rPr>
            <w:rFonts w:ascii="Times New Roman" w:hAnsi="Times New Roman" w:cs="Times New Roman"/>
            <w:sz w:val="28"/>
            <w:szCs w:val="28"/>
          </w:rPr>
          <w:t xml:space="preserve">приложение № 4 к Порядку)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IV</w:t>
      </w:r>
      <w:r>
        <w:rPr>
          <w:rFonts w:ascii="Times New Roman" w:hAnsi="Times New Roman" w:cs="Times New Roman"/>
          <w:sz w:val="28"/>
          <w:szCs w:val="28"/>
        </w:rPr>
        <w:t xml:space="preserve">. Последовательность действий</w:t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</w:t>
      </w:r>
      <w:r>
        <w:rPr>
          <w:rFonts w:ascii="Times New Roman" w:hAnsi="Times New Roman" w:cs="Times New Roman"/>
          <w:sz w:val="28"/>
          <w:szCs w:val="28"/>
        </w:rPr>
        <w:t xml:space="preserve"> уведомительной регистрации соглашения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3"/>
      <w:bookmarkEnd w:id="3"/>
      <w:r>
        <w:rPr>
          <w:rFonts w:ascii="Times New Roman" w:hAnsi="Times New Roman" w:cs="Times New Roman"/>
          <w:sz w:val="28"/>
          <w:szCs w:val="28"/>
        </w:rPr>
        <w:t xml:space="preserve">10.</w:t>
      </w:r>
      <w:r>
        <w:rPr>
          <w:rFonts w:ascii="Times New Roman" w:hAnsi="Times New Roman" w:cs="Times New Roman"/>
          <w:sz w:val="28"/>
          <w:szCs w:val="28"/>
        </w:rPr>
        <w:t xml:space="preserve"> </w:t>
      </w:r>
      <w:r>
        <w:rPr>
          <w:rFonts w:ascii="Times New Roman" w:hAnsi="Times New Roman" w:cs="Times New Roman"/>
          <w:sz w:val="28"/>
          <w:szCs w:val="28"/>
        </w:rPr>
        <w:t xml:space="preserve">Моментом начала осуществления уведомительной регистрации соглашения считается дата регистрации поступившего в министерство письма об уведомительной регистрации соглашения.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</w:t>
      </w:r>
      <w:r>
        <w:rPr>
          <w:rFonts w:ascii="Times New Roman" w:hAnsi="Times New Roman" w:cs="Times New Roman"/>
          <w:sz w:val="28"/>
          <w:szCs w:val="28"/>
        </w:rPr>
        <w:t xml:space="preserve"> </w:t>
      </w:r>
      <w:r>
        <w:rPr>
          <w:rFonts w:ascii="Times New Roman" w:hAnsi="Times New Roman" w:cs="Times New Roman"/>
          <w:sz w:val="28"/>
          <w:szCs w:val="28"/>
        </w:rPr>
        <w:t xml:space="preserve">Специалист отдела, уполномоченный на проведение уведомительной регистрации соглашений, осуществляет следующие действия: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</w:rPr>
        <w:t xml:space="preserve"> </w:t>
      </w:r>
      <w:r>
        <w:rPr>
          <w:rFonts w:ascii="Times New Roman" w:hAnsi="Times New Roman" w:cs="Times New Roman"/>
          <w:sz w:val="28"/>
          <w:szCs w:val="28"/>
        </w:rPr>
        <w:t xml:space="preserve">фиксирует в журнале регистрации соглашений (приложение № 1 к Порядку) соответствующую информацию;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проверяет соответствие представленных документов перечню пункта 8 настоящего Порядка и требованиям приложений № 5 и 6;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в случае отказа в уведомительной регистрации соглашения осуществляет подготовку </w:t>
      </w:r>
      <w:hyperlink w:tooltip="#P553" w:anchor="P553" w:history="1">
        <w:r>
          <w:rPr>
            <w:rFonts w:ascii="Times New Roman" w:hAnsi="Times New Roman" w:cs="Times New Roman"/>
            <w:sz w:val="28"/>
            <w:szCs w:val="28"/>
          </w:rPr>
          <w:t xml:space="preserve">уведомления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регистрации соглашения (</w:t>
      </w:r>
      <w:hyperlink w:tooltip="#P354" w:anchor="P354" w:history="1">
        <w:r>
          <w:rPr>
            <w:rFonts w:ascii="Times New Roman" w:hAnsi="Times New Roman" w:cs="Times New Roman"/>
            <w:sz w:val="28"/>
            <w:szCs w:val="28"/>
          </w:rPr>
          <w:t xml:space="preserve">приложение № 4 к Порядку)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в случае принятия решения об уведомительной регистрации соглашения: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 </w:t>
      </w:r>
      <w:r>
        <w:rPr>
          <w:rFonts w:ascii="Times New Roman" w:hAnsi="Times New Roman" w:cs="Times New Roman"/>
          <w:sz w:val="28"/>
          <w:szCs w:val="28"/>
        </w:rPr>
        <w:t xml:space="preserve">выявляет условия соглашения, ухудшающие положение работников по сравнению с действующим законодательством;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 </w:t>
      </w:r>
      <w:r>
        <w:rPr>
          <w:rFonts w:ascii="Times New Roman" w:hAnsi="Times New Roman" w:cs="Times New Roman"/>
          <w:sz w:val="28"/>
          <w:szCs w:val="28"/>
        </w:rPr>
        <w:t xml:space="preserve">направляет экземпляр соглашения в отдел оплаты труда и отдел управления охраной труда и государственной экспертизы условий труда для выявления условий соглашения, ухудшающих положение работников по сравнению с действующим законодательством в части условий оплаты и охраны труда;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обобщает информацию о результатах выявления условий соглашения, ухудшающих положение работников;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</w:t>
      </w:r>
      <w:r>
        <w:rPr>
          <w:rFonts w:ascii="Times New Roman" w:hAnsi="Times New Roman" w:cs="Times New Roman"/>
          <w:sz w:val="28"/>
          <w:szCs w:val="28"/>
        </w:rPr>
        <w:t xml:space="preserve"> 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подготовку уведомления о регистрации соглашения (приложение № 2 или № 3);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</w:t>
      </w:r>
      <w:r>
        <w:rPr>
          <w:rFonts w:ascii="Times New Roman" w:hAnsi="Times New Roman" w:cs="Times New Roman"/>
          <w:sz w:val="28"/>
          <w:szCs w:val="28"/>
        </w:rPr>
        <w:t xml:space="preserve"> </w:t>
      </w:r>
      <w:r>
        <w:rPr>
          <w:rFonts w:ascii="Times New Roman" w:hAnsi="Times New Roman" w:cs="Times New Roman"/>
          <w:sz w:val="28"/>
          <w:szCs w:val="28"/>
        </w:rPr>
        <w:t xml:space="preserve">заполняет отметку о регистрации соглашения с указанием даты регистрации и регистрационного номера;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предоставляет на подпись министру все экземпляры соглашения и уведомление о регистрации соглашения в количестве равном количеству сторон соглашения;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</w:t>
      </w:r>
      <w:r>
        <w:rPr>
          <w:rFonts w:ascii="Times New Roman" w:hAnsi="Times New Roman" w:cs="Times New Roman"/>
          <w:sz w:val="28"/>
          <w:szCs w:val="28"/>
        </w:rPr>
        <w:t xml:space="preserve"> </w:t>
      </w:r>
      <w:r>
        <w:rPr>
          <w:rFonts w:ascii="Times New Roman" w:hAnsi="Times New Roman" w:cs="Times New Roman"/>
          <w:sz w:val="28"/>
          <w:szCs w:val="28"/>
        </w:rPr>
        <w:t xml:space="preserve">регистрирует уведомление о регистрации соглашения в канцелярии министерства и проставляет печать на подпись министра в отметке о регистрации соглашения;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</w:t>
      </w:r>
      <w:r>
        <w:rPr>
          <w:rFonts w:ascii="Times New Roman" w:hAnsi="Times New Roman" w:cs="Times New Roman"/>
          <w:sz w:val="28"/>
          <w:szCs w:val="28"/>
        </w:rPr>
        <w:t xml:space="preserve"> </w:t>
      </w:r>
      <w:r>
        <w:rPr>
          <w:rFonts w:ascii="Times New Roman" w:hAnsi="Times New Roman" w:cs="Times New Roman"/>
          <w:sz w:val="28"/>
          <w:szCs w:val="28"/>
        </w:rPr>
        <w:t xml:space="preserve">фиксирует соответствующую информацию в Журнале регистрации соглашений (приложение № 1 к Порядку);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</w:t>
      </w:r>
      <w:r>
        <w:rPr>
          <w:rFonts w:ascii="Times New Roman" w:hAnsi="Times New Roman" w:cs="Times New Roman"/>
          <w:sz w:val="28"/>
          <w:szCs w:val="28"/>
        </w:rPr>
        <w:t xml:space="preserve"> </w:t>
      </w:r>
      <w:r>
        <w:rPr>
          <w:rFonts w:ascii="Times New Roman" w:hAnsi="Times New Roman" w:cs="Times New Roman"/>
          <w:sz w:val="28"/>
          <w:szCs w:val="28"/>
        </w:rPr>
        <w:t xml:space="preserve">направляет представителям сторон соглашения уведомления о регистрации соглашения и экземпляры соглашения с отметкой о регистрации, оставив на хранение в отделе один экземпляр.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</w:t>
      </w:r>
      <w:r>
        <w:rPr>
          <w:rFonts w:ascii="Times New Roman" w:hAnsi="Times New Roman" w:cs="Times New Roman"/>
          <w:sz w:val="28"/>
          <w:szCs w:val="28"/>
        </w:rPr>
        <w:t xml:space="preserve"> 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в соглашении не выявлены условия, ухудшающие положение работников по сравнению с действующим законодательством, </w:t>
      </w:r>
      <w:hyperlink w:tooltip="#P354" w:anchor="P354" w:history="1">
        <w:r>
          <w:rPr>
            <w:rFonts w:ascii="Times New Roman" w:hAnsi="Times New Roman" w:cs="Times New Roman"/>
            <w:sz w:val="28"/>
            <w:szCs w:val="28"/>
          </w:rPr>
          <w:t xml:space="preserve">уведомлени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я о регистрации соглашения оформляется в соответствии с приложением № 2 к Порядку.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 В случае если в соглашении выявлены условия, ухудшающие положение работников по сравнению с действующим законодательством, </w:t>
      </w:r>
      <w:hyperlink w:tooltip="#P393" w:anchor="P393" w:history="1">
        <w:r>
          <w:rPr>
            <w:rFonts w:ascii="Times New Roman" w:hAnsi="Times New Roman" w:cs="Times New Roman"/>
            <w:sz w:val="28"/>
            <w:szCs w:val="28"/>
          </w:rPr>
          <w:t xml:space="preserve">уведомления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регистрации соглашения оформляются в соответствии с приложением № 3 к Порядку, а в отметке о регистрации соглашения делается запись «с замечаниями».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В случае если в соглашении выявлены условия соглашения, ухудшающие положение работников, специалист отдела осуществляет подготовку сообщения в Государственную инспекцию труда в Новосибирской области о выявленных условиях, ухудшающих положение работников по сравнению с действующим законодательством, и направляет его вместе с копиями соглашения и уведомления о регистрации соглашения. 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</w:t>
      </w:r>
      <w:r>
        <w:rPr>
          <w:rFonts w:ascii="Times New Roman" w:hAnsi="Times New Roman" w:cs="Times New Roman"/>
          <w:sz w:val="28"/>
          <w:szCs w:val="28"/>
        </w:rPr>
        <w:t xml:space="preserve">. Уведомительная регистрация </w:t>
      </w:r>
    </w:p>
    <w:p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дополнений, вносимых в соглашение</w:t>
      </w:r>
    </w:p>
    <w:p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Уведомительная регистрация изменений и дополнений, вносимых в соглашение осуществляется в том же порядке, что и соглашения.</w:t>
      </w:r>
      <w:r>
        <w:rPr>
          <w:rFonts w:ascii="Times New Roman" w:hAnsi="Times New Roman"/>
          <w:sz w:val="28"/>
          <w:szCs w:val="28"/>
        </w:rPr>
        <w:br w:type="page" w:clear="all"/>
      </w:r>
    </w:p>
    <w:p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VI</w:t>
      </w:r>
      <w:r>
        <w:rPr>
          <w:rFonts w:ascii="Times New Roman" w:hAnsi="Times New Roman" w:cs="Times New Roman"/>
          <w:sz w:val="28"/>
          <w:szCs w:val="28"/>
        </w:rPr>
        <w:t xml:space="preserve">. Текущий контроль за соблюдением Порядка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</w:t>
      </w:r>
      <w:r>
        <w:rPr>
          <w:rFonts w:ascii="Times New Roman" w:hAnsi="Times New Roman" w:cs="Times New Roman"/>
          <w:sz w:val="28"/>
          <w:szCs w:val="28"/>
        </w:rPr>
        <w:t xml:space="preserve"> </w:t>
      </w:r>
      <w:r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последовательности действий, определенных Порядком и принятием решений специалистом отдела осуществляется начальником отдела, начальником управления труда министерства в форме проведения проверок зарегистрированных соглашений.</w:t>
      </w:r>
    </w:p>
    <w:p>
      <w:pPr>
        <w:sectPr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>
      <w:pPr>
        <w:pStyle w:val="ConsPlusNormal"/>
        <w:ind w:left="949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</w:t>
      </w:r>
    </w:p>
    <w:p>
      <w:pPr>
        <w:pStyle w:val="ConsPlusNormal"/>
        <w:ind w:left="94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 Порядку уведомительной регистрации</w:t>
      </w:r>
    </w:p>
    <w:p>
      <w:pPr>
        <w:pStyle w:val="ConsPlusNormal"/>
        <w:ind w:left="94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региональных</w:t>
      </w:r>
      <w:r>
        <w:rPr>
          <w:rFonts w:ascii="Times New Roman" w:hAnsi="Times New Roman" w:cs="Times New Roman"/>
          <w:sz w:val="28"/>
          <w:szCs w:val="28"/>
        </w:rPr>
        <w:t xml:space="preserve"> и региональных отраслевых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(межотраслевых) соглашений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16"/>
      <w:bookmarkEnd w:id="4"/>
      <w:r>
        <w:rPr>
          <w:rFonts w:ascii="Times New Roman" w:hAnsi="Times New Roman" w:cs="Times New Roman"/>
          <w:sz w:val="28"/>
          <w:szCs w:val="28"/>
        </w:rPr>
        <w:t xml:space="preserve">Журнал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соглашений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89" w:type="dxa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24"/>
        <w:gridCol w:w="2133"/>
        <w:gridCol w:w="1701"/>
        <w:gridCol w:w="1984"/>
        <w:gridCol w:w="1985"/>
        <w:gridCol w:w="1842"/>
        <w:gridCol w:w="2552"/>
        <w:gridCol w:w="2268"/>
      </w:tblGrid>
      <w:tr>
        <w:tc>
          <w:tcPr>
            <w:tcW w:w="62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п/п</w:t>
            </w:r>
          </w:p>
        </w:tc>
        <w:tc>
          <w:tcPr>
            <w:tcW w:w="213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и входящий номер письма об уведомительной регистрации соглашения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и регистрационный номер соглашения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соглашения</w:t>
            </w:r>
          </w:p>
        </w:tc>
        <w:tc>
          <w:tcPr>
            <w:tcW w:w="198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сторон соглашения (подписавшие соглашение)</w:t>
            </w:r>
          </w:p>
        </w:tc>
        <w:tc>
          <w:tcPr>
            <w:tcW w:w="184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выявленных условиях соглашения, ухудшающих положение работников</w:t>
            </w:r>
          </w:p>
        </w:tc>
        <w:tc>
          <w:tcPr>
            <w:tcW w:w="255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и исходящий номер сообщения в Государственную инспекцию труда в Новосибирской области о выявленных условиях соглашения, ухудшающих положение работников</w:t>
            </w:r>
          </w:p>
        </w:tc>
        <w:tc>
          <w:tcPr>
            <w:tcW w:w="226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Даты и исходящие номера уведомлений о регистрации соглашения либо об отказе в осуществлении государственной функции</w:t>
            </w:r>
          </w:p>
        </w:tc>
      </w:tr>
      <w:tr>
        <w:tc>
          <w:tcPr>
            <w:tcW w:w="62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213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198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</w:p>
        </w:tc>
        <w:tc>
          <w:tcPr>
            <w:tcW w:w="184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</w:p>
        </w:tc>
        <w:tc>
          <w:tcPr>
            <w:tcW w:w="255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</w:p>
        </w:tc>
        <w:tc>
          <w:tcPr>
            <w:tcW w:w="226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</w:p>
        </w:tc>
      </w:tr>
    </w:tbl>
    <w:p>
      <w:pPr>
        <w:sectPr>
          <w:pgSz w:w="16838" w:h="11905" w:orient="landscape"/>
          <w:pgMar w:top="1896" w:right="1134" w:bottom="850" w:left="1134" w:header="709" w:footer="709" w:gutter="0"/>
          <w:cols w:space="720"/>
          <w:docGrid w:linePitch="360"/>
        </w:sectPr>
      </w:pPr>
    </w:p>
    <w:p>
      <w:pPr>
        <w:pStyle w:val="ConsPlusNormal"/>
        <w:ind w:left="425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</w:t>
      </w:r>
    </w:p>
    <w:p>
      <w:pPr>
        <w:pStyle w:val="ConsPlusNormal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 Порядку уведомительной регистрации</w:t>
      </w:r>
    </w:p>
    <w:p>
      <w:pPr>
        <w:pStyle w:val="ConsPlusNormal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региональных</w:t>
      </w:r>
      <w:r>
        <w:rPr>
          <w:rFonts w:ascii="Times New Roman" w:hAnsi="Times New Roman" w:cs="Times New Roman"/>
          <w:sz w:val="28"/>
          <w:szCs w:val="28"/>
        </w:rPr>
        <w:t xml:space="preserve"> и региональных отраслевых</w:t>
      </w:r>
    </w:p>
    <w:p>
      <w:pPr>
        <w:pStyle w:val="ConsPlusNormal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межотраслевых</w:t>
      </w:r>
      <w:r>
        <w:rPr>
          <w:rFonts w:ascii="Times New Roman" w:hAnsi="Times New Roman" w:cs="Times New Roman"/>
          <w:sz w:val="28"/>
          <w:szCs w:val="28"/>
        </w:rPr>
        <w:t xml:space="preserve">) соглашений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бланке министерства труда и социального развития Новосибирской области 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представителей </w:t>
      </w:r>
    </w:p>
    <w:p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</w:t>
      </w:r>
      <w:r>
        <w:rPr>
          <w:rFonts w:ascii="Times New Roman" w:hAnsi="Times New Roman" w:cs="Times New Roman"/>
          <w:sz w:val="28"/>
          <w:szCs w:val="28"/>
        </w:rPr>
        <w:t xml:space="preserve"> соглашения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54"/>
      <w:bookmarkEnd w:id="5"/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регистрации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полное</w:t>
      </w:r>
      <w:r>
        <w:rPr>
          <w:rFonts w:ascii="Times New Roman" w:hAnsi="Times New Roman" w:cs="Times New Roman"/>
        </w:rPr>
        <w:t xml:space="preserve"> наименование соглашения)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труда и социального развития Новосибирской области сообщает, что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полное</w:t>
      </w:r>
      <w:r>
        <w:rPr>
          <w:rFonts w:ascii="Times New Roman" w:hAnsi="Times New Roman" w:cs="Times New Roman"/>
        </w:rPr>
        <w:t xml:space="preserve"> наименование соглашения)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зарегистрировано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 20____ г.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дата</w:t>
      </w:r>
      <w:r>
        <w:rPr>
          <w:rFonts w:ascii="Times New Roman" w:hAnsi="Times New Roman" w:cs="Times New Roman"/>
        </w:rPr>
        <w:t xml:space="preserve"> регистрации)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Регистрационный номер ______.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 соглашения</w:t>
      </w:r>
      <w:r>
        <w:rPr>
          <w:rFonts w:ascii="Times New Roman" w:hAnsi="Times New Roman" w:cs="Times New Roman"/>
          <w:sz w:val="28"/>
          <w:szCs w:val="28"/>
        </w:rPr>
        <w:t xml:space="preserve">, ухудшающие положение  работников по сравнению с трудовым законодательством и иными нормативными правовыми актами, содержащими нормы трудового права, не выявлены.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труда и социального развития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_______________         ФИО</w:t>
      </w:r>
    </w:p>
    <w:p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(</w:t>
      </w:r>
      <w:r>
        <w:rPr>
          <w:rFonts w:ascii="Times New Roman" w:hAnsi="Times New Roman" w:cs="Times New Roman"/>
          <w:sz w:val="20"/>
        </w:rPr>
        <w:t xml:space="preserve">подпись</w:t>
      </w:r>
      <w:r>
        <w:rPr>
          <w:rFonts w:ascii="Times New Roman" w:hAnsi="Times New Roman" w:cs="Times New Roman"/>
          <w:sz w:val="20"/>
        </w:rPr>
        <w:t xml:space="preserve">)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sectPr>
          <w:pgSz w:w="11905" w:h="16838"/>
          <w:pgMar w:top="1134" w:right="706" w:bottom="1134" w:left="1560" w:header="709" w:footer="709" w:gutter="0"/>
          <w:cols w:space="720"/>
          <w:docGrid w:linePitch="360"/>
        </w:sectPr>
      </w:pPr>
      <w:r>
        <w:br w:type="page" w:clear="all"/>
      </w:r>
    </w:p>
    <w:p>
      <w:pPr>
        <w:pStyle w:val="ConsPlusNormal"/>
        <w:ind w:left="411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№3</w:t>
      </w:r>
    </w:p>
    <w:p>
      <w:pPr>
        <w:pStyle w:val="ConsPlusNormal"/>
        <w:ind w:left="41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 Порядку уведомительной регистрации</w:t>
      </w:r>
    </w:p>
    <w:p>
      <w:pPr>
        <w:pStyle w:val="ConsPlusNormal"/>
        <w:ind w:left="41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региональных</w:t>
      </w:r>
      <w:r>
        <w:rPr>
          <w:rFonts w:ascii="Times New Roman" w:hAnsi="Times New Roman" w:cs="Times New Roman"/>
          <w:sz w:val="28"/>
          <w:szCs w:val="28"/>
        </w:rPr>
        <w:t xml:space="preserve"> и региональных отраслевых</w:t>
      </w:r>
    </w:p>
    <w:p>
      <w:pPr>
        <w:pStyle w:val="ConsPlusNormal"/>
        <w:ind w:left="41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межотраслевых</w:t>
      </w:r>
      <w:r>
        <w:rPr>
          <w:rFonts w:ascii="Times New Roman" w:hAnsi="Times New Roman" w:cs="Times New Roman"/>
          <w:sz w:val="28"/>
          <w:szCs w:val="28"/>
        </w:rPr>
        <w:t xml:space="preserve">) соглашений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бланке министерства труда и социального развития Новосибирской области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представителей </w:t>
      </w:r>
    </w:p>
    <w:p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</w:t>
      </w:r>
      <w:r>
        <w:rPr>
          <w:rFonts w:ascii="Times New Roman" w:hAnsi="Times New Roman" w:cs="Times New Roman"/>
          <w:sz w:val="28"/>
          <w:szCs w:val="28"/>
        </w:rPr>
        <w:t xml:space="preserve"> соглашения</w:t>
      </w:r>
    </w:p>
    <w:p>
      <w:pPr>
        <w:pStyle w:val="ConsPlusNormal"/>
        <w:ind w:firstLine="540"/>
        <w:jc w:val="both"/>
      </w:pP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393"/>
      <w:bookmarkEnd w:id="6"/>
      <w:r>
        <w:rPr>
          <w:rFonts w:ascii="Times New Roman" w:hAnsi="Times New Roman" w:cs="Times New Roman"/>
          <w:sz w:val="28"/>
          <w:szCs w:val="28"/>
        </w:rPr>
        <w:t xml:space="preserve">УВЕДОМЛЕНИЕ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регистрации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полное</w:t>
      </w:r>
      <w:r>
        <w:rPr>
          <w:rFonts w:ascii="Times New Roman" w:hAnsi="Times New Roman" w:cs="Times New Roman"/>
        </w:rPr>
        <w:t xml:space="preserve"> наименование соглашения)</w:t>
      </w:r>
    </w:p>
    <w:p>
      <w:pPr>
        <w:pStyle w:val="ConsPlusNonformat"/>
        <w:jc w:val="both"/>
      </w:pP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труда и социального развития Новосибирской области сообщает, что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полное</w:t>
      </w:r>
      <w:r>
        <w:rPr>
          <w:rFonts w:ascii="Times New Roman" w:hAnsi="Times New Roman" w:cs="Times New Roman"/>
        </w:rPr>
        <w:t xml:space="preserve"> наименование соглашения)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зарегистрировано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 20___ г.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дата</w:t>
      </w:r>
      <w:r>
        <w:rPr>
          <w:rFonts w:ascii="Times New Roman" w:hAnsi="Times New Roman" w:cs="Times New Roman"/>
        </w:rPr>
        <w:t xml:space="preserve"> регистрации)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Регистрационный номер _____________.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регистрации соглашения выявлены следующие условия, ухудшающие   положение   работников   по сравнению с трудовым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 и</w:t>
      </w:r>
      <w:r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актами, содержащими нормы трудового права:</w:t>
      </w:r>
    </w:p>
    <w:tbl>
      <w:tblPr>
        <w:tblW w:w="0" w:type="auto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24"/>
        <w:gridCol w:w="5159"/>
        <w:gridCol w:w="3798"/>
      </w:tblGrid>
      <w:tr>
        <w:tc>
          <w:tcPr>
            <w:tcW w:w="62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п/п</w:t>
            </w:r>
          </w:p>
        </w:tc>
        <w:tc>
          <w:tcPr>
            <w:tcW w:w="515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Условия соглашения,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 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(№ пункта, статьи, раздела и т.п. в зависимости от структуры соглашения)</w:t>
            </w:r>
          </w:p>
        </w:tc>
        <w:tc>
          <w:tcPr>
            <w:tcW w:w="379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правовой акт, по сравнению с которым условия соглашения ухудшают положение работников (№ пункта, статьи нормативного правового акта)</w:t>
            </w:r>
          </w:p>
        </w:tc>
      </w:tr>
      <w:tr>
        <w:tc>
          <w:tcPr>
            <w:tcW w:w="624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соглашения, ухудшающие положение работников по сравнению с трудовым   законодательством   и   иными   нормативными правовыми актами, содержащими   нормы   трудового   права, недействительны и не подлежат применению.</w:t>
      </w: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труда и социального развития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_______________         ФИО</w:t>
      </w:r>
    </w:p>
    <w:p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(</w:t>
      </w:r>
      <w:r>
        <w:rPr>
          <w:rFonts w:ascii="Times New Roman" w:hAnsi="Times New Roman" w:cs="Times New Roman"/>
          <w:sz w:val="20"/>
        </w:rPr>
        <w:t xml:space="preserve">подпись</w:t>
      </w:r>
      <w:r>
        <w:rPr>
          <w:rFonts w:ascii="Times New Roman" w:hAnsi="Times New Roman" w:cs="Times New Roman"/>
          <w:sz w:val="20"/>
        </w:rPr>
        <w:t xml:space="preserve">)</w:t>
      </w:r>
    </w:p>
    <w:p>
      <w:pPr>
        <w:pStyle w:val="ConsPlusNonformat"/>
        <w:jc w:val="both"/>
        <w:sectPr>
          <w:pgSz w:w="11905" w:h="16838"/>
          <w:pgMar w:top="1134" w:right="706" w:bottom="1134" w:left="1560" w:header="709" w:footer="709" w:gutter="0"/>
          <w:cols w:space="720"/>
          <w:docGrid w:linePitch="360"/>
        </w:sectPr>
      </w:pPr>
    </w:p>
    <w:p>
      <w:pPr>
        <w:pStyle w:val="ConsPlusNormal"/>
        <w:ind w:firstLine="540"/>
        <w:jc w:val="both"/>
      </w:pPr>
    </w:p>
    <w:p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4</w:t>
      </w:r>
    </w:p>
    <w:p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 Порядку уведомительной регистрации</w:t>
      </w:r>
    </w:p>
    <w:p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региональных</w:t>
      </w:r>
      <w:r>
        <w:rPr>
          <w:rFonts w:ascii="Times New Roman" w:hAnsi="Times New Roman" w:cs="Times New Roman"/>
          <w:sz w:val="28"/>
          <w:szCs w:val="28"/>
        </w:rPr>
        <w:t xml:space="preserve"> и региональных отраслевых</w:t>
      </w:r>
    </w:p>
    <w:p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межотраслевых</w:t>
      </w:r>
      <w:r>
        <w:rPr>
          <w:rFonts w:ascii="Times New Roman" w:hAnsi="Times New Roman" w:cs="Times New Roman"/>
          <w:sz w:val="28"/>
          <w:szCs w:val="28"/>
        </w:rPr>
        <w:t xml:space="preserve">) соглашений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бланке министерства труда и социального развития Новосибирской области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представителей </w:t>
      </w:r>
    </w:p>
    <w:p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</w:t>
      </w:r>
      <w:r>
        <w:rPr>
          <w:rFonts w:ascii="Times New Roman" w:hAnsi="Times New Roman" w:cs="Times New Roman"/>
          <w:sz w:val="28"/>
          <w:szCs w:val="28"/>
        </w:rPr>
        <w:t xml:space="preserve"> соглашения</w:t>
      </w:r>
    </w:p>
    <w:p>
      <w:pPr>
        <w:pStyle w:val="ConsPlusNormal"/>
        <w:jc w:val="center"/>
      </w:pPr>
    </w:p>
    <w:p>
      <w:pPr>
        <w:pStyle w:val="ConsPlusNormal"/>
        <w:ind w:firstLine="540"/>
        <w:jc w:val="both"/>
      </w:pP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553"/>
      <w:bookmarkEnd w:id="7"/>
      <w:r>
        <w:rPr>
          <w:rFonts w:ascii="Times New Roman" w:hAnsi="Times New Roman" w:cs="Times New Roman"/>
          <w:sz w:val="28"/>
          <w:szCs w:val="28"/>
        </w:rPr>
        <w:t xml:space="preserve">УВЕДОМЛЕНИЕ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</w:t>
      </w:r>
      <w:r>
        <w:rPr>
          <w:rFonts w:ascii="Times New Roman" w:hAnsi="Times New Roman" w:cs="Times New Roman"/>
          <w:sz w:val="28"/>
          <w:szCs w:val="28"/>
        </w:rPr>
        <w:t xml:space="preserve"> отказе в регистрации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полное</w:t>
      </w:r>
      <w:r>
        <w:rPr>
          <w:rFonts w:ascii="Times New Roman" w:hAnsi="Times New Roman" w:cs="Times New Roman"/>
        </w:rPr>
        <w:t xml:space="preserve"> наименование соглашения)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  нормами   законодательства   Российской   Федерации и положениями Порядка уведомительной регистрации региональных и отраслевых (межотраслевых) соглашений министерство труда и социального развития Новосибирской области приняло решение отказать в уведомительной регистрации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полное</w:t>
      </w:r>
      <w:r>
        <w:rPr>
          <w:rFonts w:ascii="Times New Roman" w:hAnsi="Times New Roman" w:cs="Times New Roman"/>
        </w:rPr>
        <w:t xml:space="preserve"> наименование соглашения)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следующему основанию (нужное подчеркнуть):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представителем</w:t>
      </w:r>
      <w:r>
        <w:rPr>
          <w:rFonts w:ascii="Times New Roman" w:hAnsi="Times New Roman" w:cs="Times New Roman"/>
          <w:sz w:val="28"/>
          <w:szCs w:val="28"/>
        </w:rPr>
        <w:t xml:space="preserve"> стороны предоставлены не все документы, недостает _____________________________________________________________________;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указать</w:t>
      </w:r>
      <w:r>
        <w:rPr>
          <w:rFonts w:ascii="Times New Roman" w:hAnsi="Times New Roman" w:cs="Times New Roman"/>
        </w:rPr>
        <w:t xml:space="preserve"> недостающие документы)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документы не соответствуют требованиям к оформлению, и в течение 10 рабочих дней представитель стороны не выполнил требования, предъявляемые к документам в пункте 8 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______________________________________________________________________.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</w:rPr>
        <w:t xml:space="preserve">указать</w:t>
      </w:r>
      <w:r>
        <w:rPr>
          <w:rFonts w:ascii="Times New Roman" w:hAnsi="Times New Roman" w:cs="Times New Roman"/>
        </w:rPr>
        <w:t xml:space="preserve"> какие документы не соответствуют требованиям, предъявляемым к оформлению)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труда и социального развития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_______________         ФИО</w:t>
      </w:r>
    </w:p>
    <w:p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(</w:t>
      </w:r>
      <w:r>
        <w:rPr>
          <w:rFonts w:ascii="Times New Roman" w:hAnsi="Times New Roman" w:cs="Times New Roman"/>
          <w:sz w:val="20"/>
        </w:rPr>
        <w:t xml:space="preserve">подпись</w:t>
      </w:r>
      <w:r>
        <w:rPr>
          <w:rFonts w:ascii="Times New Roman" w:hAnsi="Times New Roman" w:cs="Times New Roman"/>
          <w:sz w:val="20"/>
        </w:rPr>
        <w:t xml:space="preserve">)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  <w:sectPr>
          <w:pgSz w:w="11905" w:h="16838"/>
          <w:pgMar w:top="1134" w:right="567" w:bottom="1134" w:left="1418" w:header="709" w:footer="709" w:gutter="0"/>
          <w:cols w:space="720"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 w:clear="all"/>
      </w:r>
    </w:p>
    <w:p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5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 Порядку уведомительной регистрации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региональных</w:t>
      </w:r>
      <w:r>
        <w:rPr>
          <w:rFonts w:ascii="Times New Roman" w:hAnsi="Times New Roman" w:cs="Times New Roman"/>
          <w:sz w:val="28"/>
          <w:szCs w:val="28"/>
        </w:rPr>
        <w:t xml:space="preserve"> и региональных отраслевых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межотраслевых</w:t>
      </w:r>
      <w:r>
        <w:rPr>
          <w:rFonts w:ascii="Times New Roman" w:hAnsi="Times New Roman" w:cs="Times New Roman"/>
          <w:sz w:val="28"/>
          <w:szCs w:val="28"/>
        </w:rPr>
        <w:t xml:space="preserve">) соглашений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445"/>
      <w:bookmarkEnd w:id="8"/>
      <w:r>
        <w:rPr>
          <w:rFonts w:ascii="Times New Roman" w:hAnsi="Times New Roman" w:cs="Times New Roman"/>
          <w:sz w:val="28"/>
          <w:szCs w:val="28"/>
        </w:rPr>
        <w:t xml:space="preserve">Отметка о регистрации на титульном листе соглашения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Зарегистрировано в министерстве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труда</w:t>
      </w:r>
      <w:r>
        <w:rPr>
          <w:rFonts w:ascii="Times New Roman" w:hAnsi="Times New Roman" w:cs="Times New Roman"/>
          <w:sz w:val="28"/>
          <w:szCs w:val="28"/>
        </w:rPr>
        <w:t xml:space="preserve"> и социального развития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Регистрационный номер ______ от ____________20__ года.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труда и социального развития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_______________         ФИО</w:t>
      </w:r>
    </w:p>
    <w:p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(</w:t>
      </w:r>
      <w:r>
        <w:rPr>
          <w:rFonts w:ascii="Times New Roman" w:hAnsi="Times New Roman" w:cs="Times New Roman"/>
          <w:sz w:val="20"/>
        </w:rPr>
        <w:t xml:space="preserve">подпись</w:t>
      </w:r>
      <w:r>
        <w:rPr>
          <w:rFonts w:ascii="Times New Roman" w:hAnsi="Times New Roman" w:cs="Times New Roman"/>
          <w:sz w:val="20"/>
        </w:rPr>
        <w:t xml:space="preserve">)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М.П.</w:t>
      </w:r>
    </w:p>
    <w:p>
      <w:pPr>
        <w:pStyle w:val="ConsPlusNormal"/>
        <w:ind w:firstLine="540"/>
        <w:jc w:val="both"/>
        <w:sectPr>
          <w:pgSz w:w="11905" w:h="16838"/>
          <w:pgMar w:top="1134" w:right="567" w:bottom="1134" w:left="1418" w:header="709" w:footer="709" w:gutter="0"/>
          <w:cols w:space="720"/>
          <w:docGrid w:linePitch="360"/>
        </w:sectPr>
      </w:pPr>
      <w:r>
        <w:t xml:space="preserve">                                                                                      </w:t>
      </w:r>
    </w:p>
    <w:p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6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 Порядку уведомительной регистрации 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региональных</w:t>
      </w:r>
      <w:r>
        <w:rPr>
          <w:rFonts w:ascii="Times New Roman" w:hAnsi="Times New Roman" w:cs="Times New Roman"/>
          <w:sz w:val="28"/>
          <w:szCs w:val="28"/>
        </w:rPr>
        <w:t xml:space="preserve"> и региональных отраслевых 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межотраслевых</w:t>
      </w:r>
      <w:r>
        <w:rPr>
          <w:rFonts w:ascii="Times New Roman" w:hAnsi="Times New Roman" w:cs="Times New Roman"/>
          <w:sz w:val="28"/>
          <w:szCs w:val="28"/>
        </w:rPr>
        <w:t xml:space="preserve">) соглашений</w:t>
      </w:r>
    </w:p>
    <w:p>
      <w:pPr>
        <w:pStyle w:val="ConsPlusNormal"/>
        <w:jc w:val="center"/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476"/>
      <w:bookmarkEnd w:id="9"/>
      <w:r>
        <w:rPr>
          <w:rFonts w:ascii="Times New Roman" w:hAnsi="Times New Roman" w:cs="Times New Roman"/>
          <w:sz w:val="28"/>
          <w:szCs w:val="28"/>
        </w:rPr>
        <w:t xml:space="preserve">РЕГИСТРАЦИОННАЯ КАРТА</w:t>
      </w:r>
    </w:p>
    <w:p>
      <w:pPr>
        <w:pStyle w:val="ConsPlusNormal"/>
        <w:tabs>
          <w:tab w:val="center" w:pos="5316"/>
          <w:tab w:val="left" w:pos="731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ОТРАСЛЕВОГО СОГЛАШЕНИЯ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</w:t>
      </w:r>
    </w:p>
    <w:p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(</w:t>
      </w:r>
      <w:r>
        <w:rPr>
          <w:rFonts w:ascii="Times New Roman" w:hAnsi="Times New Roman" w:cs="Times New Roman"/>
          <w:sz w:val="20"/>
        </w:rPr>
        <w:t xml:space="preserve">название</w:t>
      </w:r>
      <w:r>
        <w:rPr>
          <w:rFonts w:ascii="Times New Roman" w:hAnsi="Times New Roman" w:cs="Times New Roman"/>
          <w:sz w:val="20"/>
        </w:rPr>
        <w:t xml:space="preserve"> соглашения)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695" w:type="dxa"/>
        <w:tblInd w:w="-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548"/>
        <w:gridCol w:w="266"/>
        <w:gridCol w:w="92"/>
        <w:gridCol w:w="767"/>
        <w:gridCol w:w="424"/>
        <w:gridCol w:w="1077"/>
        <w:gridCol w:w="471"/>
        <w:gridCol w:w="190"/>
        <w:gridCol w:w="512"/>
        <w:gridCol w:w="61"/>
        <w:gridCol w:w="786"/>
        <w:gridCol w:w="534"/>
        <w:gridCol w:w="990"/>
        <w:gridCol w:w="24"/>
        <w:gridCol w:w="23"/>
        <w:gridCol w:w="256"/>
        <w:gridCol w:w="689"/>
        <w:gridCol w:w="581"/>
        <w:gridCol w:w="8"/>
        <w:gridCol w:w="1396"/>
      </w:tblGrid>
      <w:tr>
        <w:tc>
          <w:tcPr>
            <w:tcW w:w="1906" w:type="dxa"/>
            <w:gridSpan w:val="3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Регистрационный № _____</w:t>
            </w:r>
          </w:p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</w:t>
            </w:r>
            <w:r>
              <w:rPr>
                <w:rFonts w:ascii="Times New Roman" w:hAnsi="Times New Roman" w:cs="Times New Roman"/>
              </w:rPr>
              <w:t xml:space="preserve"> __________</w:t>
            </w:r>
          </w:p>
        </w:tc>
        <w:tc>
          <w:tcPr>
            <w:tcW w:w="2268" w:type="dxa"/>
            <w:gridSpan w:val="3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действия соглашения:</w:t>
            </w:r>
          </w:p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</w:t>
            </w:r>
            <w:r>
              <w:rPr>
                <w:rFonts w:ascii="Times New Roman" w:hAnsi="Times New Roman" w:cs="Times New Roman"/>
              </w:rPr>
              <w:t xml:space="preserve"> ______________ </w:t>
            </w:r>
          </w:p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(</w:t>
            </w:r>
            <w:r>
              <w:rPr>
                <w:rFonts w:ascii="Times New Roman" w:hAnsi="Times New Roman" w:cs="Times New Roman"/>
              </w:rPr>
              <w:t xml:space="preserve">день</w:t>
            </w:r>
            <w:r>
              <w:rPr>
                <w:rFonts w:ascii="Times New Roman" w:hAnsi="Times New Roman" w:cs="Times New Roman"/>
              </w:rPr>
              <w:t xml:space="preserve">. месяц. год)</w:t>
            </w:r>
          </w:p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</w:t>
            </w:r>
            <w:r>
              <w:rPr>
                <w:rFonts w:ascii="Times New Roman" w:hAnsi="Times New Roman" w:cs="Times New Roman"/>
              </w:rPr>
              <w:t xml:space="preserve"> ______________</w:t>
            </w:r>
          </w:p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(</w:t>
            </w:r>
            <w:r>
              <w:rPr>
                <w:rFonts w:ascii="Times New Roman" w:hAnsi="Times New Roman" w:cs="Times New Roman"/>
              </w:rPr>
              <w:t xml:space="preserve">день</w:t>
            </w:r>
            <w:r>
              <w:rPr>
                <w:rFonts w:ascii="Times New Roman" w:hAnsi="Times New Roman" w:cs="Times New Roman"/>
              </w:rPr>
              <w:t xml:space="preserve">. месяц. год)</w:t>
            </w:r>
          </w:p>
        </w:tc>
        <w:tc>
          <w:tcPr>
            <w:tcW w:w="2554" w:type="dxa"/>
            <w:gridSpan w:val="6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Общее число работающих в отрасли</w:t>
            </w:r>
          </w:p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________(чел)</w:t>
            </w:r>
          </w:p>
        </w:tc>
        <w:tc>
          <w:tcPr>
            <w:tcW w:w="1982" w:type="dxa"/>
            <w:gridSpan w:val="5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организаций отрасли, на которые распространяется соглашение __(ед.)</w:t>
            </w:r>
          </w:p>
        </w:tc>
        <w:tc>
          <w:tcPr>
            <w:tcW w:w="1985" w:type="dxa"/>
            <w:gridSpan w:val="3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работающих в отрасли, на которых распространяется соглашение ____________(чел.)</w:t>
            </w:r>
          </w:p>
        </w:tc>
      </w:tr>
      <w:tr>
        <w:tc>
          <w:tcPr>
            <w:tcW w:w="1906" w:type="dxa"/>
            <w:gridSpan w:val="3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Стороны соглашения, представители: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gridSpan w:val="5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</w:t>
            </w:r>
            <w:r>
              <w:rPr>
                <w:rFonts w:ascii="Times New Roman" w:hAnsi="Times New Roman" w:cs="Times New Roman"/>
              </w:rPr>
              <w:t xml:space="preserve"> работодателей:</w:t>
            </w:r>
          </w:p>
        </w:tc>
        <w:tc>
          <w:tcPr>
            <w:tcW w:w="2930" w:type="dxa"/>
            <w:gridSpan w:val="7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</w:t>
            </w:r>
            <w:r>
              <w:rPr>
                <w:rFonts w:ascii="Times New Roman" w:hAnsi="Times New Roman" w:cs="Times New Roman"/>
              </w:rPr>
              <w:t xml:space="preserve"> работников:</w:t>
            </w:r>
          </w:p>
        </w:tc>
        <w:tc>
          <w:tcPr>
            <w:tcW w:w="2930" w:type="dxa"/>
            <w:gridSpan w:val="5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</w:t>
            </w:r>
            <w:r>
              <w:rPr>
                <w:rFonts w:ascii="Times New Roman" w:hAnsi="Times New Roman" w:cs="Times New Roman"/>
              </w:rPr>
              <w:t xml:space="preserve"> органа исполнительной власти:</w:t>
            </w:r>
          </w:p>
        </w:tc>
      </w:tr>
      <w:tr>
        <w:tc>
          <w:tcPr>
            <w:tcW w:w="1906" w:type="dxa"/>
            <w:gridSpan w:val="3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Рабочее время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17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1548" w:type="dxa"/>
            <w:vMerge w:val="restart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труда</w:t>
            </w:r>
          </w:p>
        </w:tc>
        <w:tc>
          <w:tcPr>
            <w:tcW w:w="1549" w:type="dxa"/>
            <w:gridSpan w:val="4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Тарифная сетка</w:t>
            </w:r>
          </w:p>
        </w:tc>
        <w:tc>
          <w:tcPr>
            <w:tcW w:w="1548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Минимальная заработная плата</w:t>
            </w:r>
          </w:p>
        </w:tc>
        <w:tc>
          <w:tcPr>
            <w:tcW w:w="1549" w:type="dxa"/>
            <w:gridSpan w:val="4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Механизм индексации</w:t>
            </w:r>
          </w:p>
        </w:tc>
        <w:tc>
          <w:tcPr>
            <w:tcW w:w="1548" w:type="dxa"/>
            <w:gridSpan w:val="3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вынужденных простоев</w:t>
            </w:r>
          </w:p>
        </w:tc>
        <w:tc>
          <w:tcPr>
            <w:tcW w:w="1549" w:type="dxa"/>
            <w:gridSpan w:val="4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Вознаграждение за выслугу лет</w:t>
            </w:r>
          </w:p>
        </w:tc>
        <w:tc>
          <w:tcPr>
            <w:tcW w:w="1404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Доплаты за тяжесть и опасность труда</w:t>
            </w:r>
          </w:p>
        </w:tc>
      </w:tr>
      <w:tr>
        <w:tc>
          <w:tcPr>
            <w:tcW w:w="1548" w:type="dxa"/>
            <w:vMerge w:val="continue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gridSpan w:val="4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2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gridSpan w:val="4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3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gridSpan w:val="4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gridSpan w:val="2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2673" w:type="dxa"/>
            <w:gridSpan w:val="4"/>
            <w:vMerge w:val="restart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Отпуска</w:t>
            </w:r>
          </w:p>
        </w:tc>
        <w:tc>
          <w:tcPr>
            <w:tcW w:w="5348" w:type="dxa"/>
            <w:gridSpan w:val="1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Ежегодные</w:t>
            </w:r>
          </w:p>
        </w:tc>
        <w:tc>
          <w:tcPr>
            <w:tcW w:w="2674" w:type="dxa"/>
            <w:gridSpan w:val="4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случае рождения, свадьбы, смерти</w:t>
            </w:r>
          </w:p>
        </w:tc>
      </w:tr>
      <w:tr>
        <w:tc>
          <w:tcPr>
            <w:tcW w:w="2673" w:type="dxa"/>
            <w:gridSpan w:val="4"/>
            <w:vMerge w:val="continue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gridSpan w:val="5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Минимальная продолжительность</w:t>
            </w:r>
          </w:p>
        </w:tc>
        <w:tc>
          <w:tcPr>
            <w:tcW w:w="2674" w:type="dxa"/>
            <w:gridSpan w:val="7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Дополнительные за условия работы</w:t>
            </w:r>
          </w:p>
        </w:tc>
        <w:tc>
          <w:tcPr>
            <w:tcW w:w="2674" w:type="dxa"/>
            <w:gridSpan w:val="4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2673" w:type="dxa"/>
            <w:gridSpan w:val="4"/>
            <w:vMerge w:val="continue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gridSpan w:val="5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gridSpan w:val="7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gridSpan w:val="4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1814" w:type="dxa"/>
            <w:gridSpan w:val="2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Социальная поддержка</w:t>
            </w:r>
          </w:p>
        </w:tc>
        <w:tc>
          <w:tcPr>
            <w:tcW w:w="3594" w:type="dxa"/>
            <w:gridSpan w:val="8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Пособия в связи со смертью работника от несчастного случая или профзаболевания</w:t>
            </w:r>
          </w:p>
        </w:tc>
        <w:tc>
          <w:tcPr>
            <w:tcW w:w="2310" w:type="dxa"/>
            <w:gridSpan w:val="3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Пособия по инвалидности, увечью на производстве</w:t>
            </w:r>
          </w:p>
        </w:tc>
        <w:tc>
          <w:tcPr>
            <w:tcW w:w="1581" w:type="dxa"/>
            <w:gridSpan w:val="6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Пенсионное обеспечение</w:t>
            </w:r>
          </w:p>
        </w:tc>
        <w:tc>
          <w:tcPr>
            <w:tcW w:w="1396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Материальная помощь, другие виды пособий</w:t>
            </w:r>
          </w:p>
        </w:tc>
      </w:tr>
      <w:tr>
        <w:tc>
          <w:tcPr>
            <w:tcW w:w="1814" w:type="dxa"/>
            <w:gridSpan w:val="2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gridSpan w:val="8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3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6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________________________________________________________________________</w:t>
      </w:r>
    </w:p>
    <w:p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Ф.И.О., должность и контактный телефон представителя</w:t>
      </w:r>
    </w:p>
    <w:p>
      <w:pPr>
        <w:pStyle w:val="ConsPlusNormal"/>
      </w:pP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работодателя</w:t>
      </w:r>
      <w:r>
        <w:rPr>
          <w:rFonts w:ascii="Times New Roman" w:hAnsi="Times New Roman" w:cs="Times New Roman"/>
        </w:rPr>
        <w:t xml:space="preserve"> </w:t>
      </w:r>
    </w:p>
    <w:sectPr>
      <w:pgSz w:w="11905" w:h="16838"/>
      <w:pgMar w:top="1134" w:right="567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154839594"/>
      <w:docPartObj>
        <w:docPartGallery w:val="Page Numbers (Top of Page)"/>
        <w:docPartUnique w:val="true"/>
      </w:docPartObj>
    </w:sdtPr>
    <w:sdtContent>
      <w:p>
        <w:pPr>
          <w:pStyle w:val="af8"/>
          <w:jc w:val="center"/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12</w:t>
        </w:r>
        <w:r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styleId="a6" w:customStyle="1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styleId="a8" w:customStyle="1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TableGridLight" w:customStyle="1">
    <w:name w:val="Table Grid Light"/>
    <w:basedOn w:val="a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styleId="ad" w:customStyle="1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styleId="af0" w:customStyle="1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Balloon Text"/>
    <w:basedOn w:val="a"/>
    <w:link w:val="af5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5" w:customStyle="1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af7">
    <w:name w:val="Hyperlink"/>
    <w:basedOn w:val="a0"/>
    <w:uiPriority w:val="99"/>
    <w:rPr>
      <w:rFonts w:cs="Times New Roman"/>
      <w:color w:val="0000ff"/>
      <w:u w:val="single"/>
    </w:rPr>
  </w:style>
  <w:style w:type="paragraph" w:styleId="af8">
    <w:name w:val="header"/>
    <w:basedOn w:val="a"/>
    <w:link w:val="af9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styleId="af9" w:customStyle="1">
    <w:name w:val="Верхний колонтитул Знак"/>
    <w:basedOn w:val="a0"/>
    <w:link w:val="af8"/>
    <w:uiPriority w:val="99"/>
    <w:rPr>
      <w:rFonts w:ascii="Times New Roman" w:hAnsi="Times New Roman" w:cs="Times New Roman"/>
      <w:sz w:val="20"/>
      <w:szCs w:val="20"/>
    </w:rPr>
  </w:style>
  <w:style w:type="character" w:styleId="40" w:customStyle="1">
    <w:name w:val="Заголовок 4 Знак"/>
    <w:basedOn w:val="a0"/>
    <w:link w:val="4"/>
    <w:rPr>
      <w:rFonts w:ascii="Times New Roman" w:hAnsi="Times New Roman"/>
      <w:sz w:val="28"/>
      <w:szCs w:val="20"/>
    </w:rPr>
  </w:style>
  <w:style w:type="paragraph" w:styleId="afa">
    <w:name w:val="Body Text"/>
    <w:basedOn w:val="a"/>
    <w:link w:val="af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styleId="afb" w:customStyle="1">
    <w:name w:val="Основной текст Знак"/>
    <w:basedOn w:val="a0"/>
    <w:link w:val="afa"/>
    <w:rPr>
      <w:rFonts w:ascii="Times New Roman" w:hAnsi="Times New Roman"/>
      <w:sz w:val="28"/>
      <w:szCs w:val="20"/>
    </w:rPr>
  </w:style>
  <w:style w:type="paragraph" w:styleId="afc">
    <w:name w:val="footer"/>
    <w:basedOn w:val="a"/>
    <w:link w:val="af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styleId="afd" w:customStyle="1">
    <w:name w:val="Нижний колонтитул Знак"/>
    <w:basedOn w:val="a0"/>
    <w:link w:val="afc"/>
    <w:rPr>
      <w:rFonts w:ascii="Times New Roman" w:hAnsi="Times New Roman"/>
      <w:sz w:val="28"/>
      <w:szCs w:val="20"/>
    </w:rPr>
  </w:style>
  <w:style w:type="character" w:styleId="20" w:customStyle="1">
    <w:name w:val="Заголовок 2 Знак"/>
    <w:basedOn w:val="a0"/>
    <w:link w:val="2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afe">
    <w:name w:val="Body Text Indent"/>
    <w:basedOn w:val="a"/>
    <w:link w:val="aff"/>
    <w:uiPriority w:val="99"/>
    <w:unhideWhenUsed/>
    <w:pPr>
      <w:spacing w:after="120"/>
      <w:ind w:left="283"/>
    </w:pPr>
  </w:style>
  <w:style w:type="character" w:styleId="aff" w:customStyle="1">
    <w:name w:val="Основной текст с отступом Знак"/>
    <w:basedOn w:val="a0"/>
    <w:link w:val="afe"/>
    <w:uiPriority w:val="99"/>
    <w:rPr>
      <w:sz w:val="22"/>
      <w:szCs w:val="22"/>
    </w:rPr>
  </w:style>
  <w:style w:type="paragraph" w:styleId="ConsPlusNormal" w:customStyle="1">
    <w:name w:val="ConsPlusNormal"/>
    <w:pPr>
      <w:widowControl w:val="off"/>
    </w:pPr>
    <w:rPr>
      <w:rFonts w:cs="Calibri"/>
      <w:sz w:val="22"/>
    </w:rPr>
  </w:style>
  <w:style w:type="paragraph" w:styleId="ConsPlusTitle" w:customStyle="1">
    <w:name w:val="ConsPlusTitle"/>
    <w:pPr>
      <w:widowControl w:val="off"/>
    </w:pPr>
    <w:rPr>
      <w:rFonts w:cs="Calibri"/>
      <w:b/>
      <w:sz w:val="22"/>
    </w:rPr>
  </w:style>
  <w:style w:type="paragraph" w:styleId="ConsPlusNonformat" w:customStyle="1">
    <w:name w:val="ConsPlusNonformat"/>
    <w:pPr>
      <w:widowControl w:val="off"/>
    </w:pPr>
    <w:rPr>
      <w:rFonts w:ascii="Courier New" w:hAnsi="Courier New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Relationship Id="rId11" Type="http://schemas.openxmlformats.org/officeDocument/2006/relationships/hyperlink" Target="consultantplus://offline/ref=4A0141B0AD61B34603705432D1725432EF9EF91CE5BED4450BD9DC50C6C191220C025B329B30813DE76F6Du3X4C" TargetMode="External"/><Relationship Id="rId12" Type="http://schemas.openxmlformats.org/officeDocument/2006/relationships/hyperlink" Target="file:///C:\Users\psa\Desktop\&#1055;&#1088;&#1080;&#1082;&#1072;&#1079;%20&#1086;%20&#1088;&#1077;&#1075;&#1080;&#1089;&#1090;&#1088;&#1072;&#1094;&#1080;&#1080;%20&#1089;&#1086;&#1075;&#1083;&#1072;&#1096;&#1077;&#1085;&#1080;&#1081;.doc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41E3C-FC30-4B66-8665-695B0C97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15522</Characters>
  <CharactersWithSpaces>18209</CharactersWithSpaces>
  <Company>dtsr</Company>
  <DocSecurity>0</DocSecurity>
  <HyperlinksChanged>false</HyperlinksChanged>
  <Lines>129</Lines>
  <LinksUpToDate>false</LinksUpToDate>
  <Pages>12</Pages>
  <Paragraphs>36</Paragraphs>
  <ScaleCrop>false</ScaleCrop>
  <SharedDoc>false</SharedDoc>
  <Template>Normal</Template>
  <TotalTime>12</TotalTime>
  <Words>2723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Измайлова Вероника Алексеевна</cp:lastModifiedBy>
  <cp:revision>4</cp:revision>
  <dcterms:created xsi:type="dcterms:W3CDTF">2024-06-26T04:12:00Z</dcterms:created>
  <dcterms:modified xsi:type="dcterms:W3CDTF">2024-06-26T04:38:00Z</dcterms:modified>
</cp:coreProperties>
</file>