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>
        <w:trPr>
          <w:trHeight w:val="2698"/>
        </w:trPr>
        <w:tc>
          <w:tcPr>
            <w:tcW w:w="98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pStyle w:val="af8"/>
        <w:spacing w:line="360" w:lineRule="auto"/>
        <w:ind w:firstLine="0"/>
        <w:rPr>
          <w:szCs w:val="28"/>
        </w:rPr>
        <w:sectPr>
          <w:headerReference w:type="default" r:id="rId8"/>
          <w:headerReference w:type="first" r:id="rId9"/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560"/>
        <w:gridCol w:w="6486"/>
        <w:gridCol w:w="540"/>
        <w:gridCol w:w="1303"/>
      </w:tblGrid>
      <w:tr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01.06.2022</w:t>
            </w:r>
          </w:p>
        </w:tc>
        <w:tc>
          <w:tcPr>
            <w:tcW w:w="648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</w:p>
        </w:tc>
        <w:tc>
          <w:tcPr>
            <w:tcW w:w="130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617</w:t>
            </w:r>
          </w:p>
        </w:tc>
      </w:tr>
      <w:tr>
        <w:trPr>
          <w:trHeight w:val="347"/>
        </w:trPr>
        <w:tc>
          <w:tcPr>
            <w:tcW w:w="9889" w:type="dxa"/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Новосибирск</w:t>
            </w:r>
          </w:p>
        </w:tc>
      </w:tr>
    </w:tbl>
    <w:p>
      <w:pPr>
        <w:pStyle w:val="4"/>
        <w:jc w:val="center"/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проведения уведомительной регистрации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коллективных</w:t>
      </w:r>
      <w:r>
        <w:rPr>
          <w:rFonts w:ascii="Times New Roman" w:hAnsi="Times New Roman"/>
          <w:sz w:val="28"/>
          <w:szCs w:val="28"/>
        </w:rPr>
        <w:t xml:space="preserve"> трудовых споров и оказания содействия их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урегулированию</w:t>
      </w:r>
      <w:r>
        <w:rPr>
          <w:rFonts w:ascii="Times New Roman" w:hAnsi="Times New Roman"/>
          <w:sz w:val="28"/>
          <w:szCs w:val="28"/>
        </w:rPr>
        <w:t xml:space="preserve"> на территории Новосиб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ирской области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</w:t>
      </w:r>
      <w:r>
        <w:rPr>
          <w:rFonts w:ascii="Times New Roman" w:hAnsi="Times New Roman"/>
          <w:bCs/>
          <w:sz w:val="24"/>
          <w:szCs w:val="24"/>
        </w:rPr>
        <w:t xml:space="preserve">изм.</w:t>
      </w:r>
      <w:r>
        <w:rPr>
          <w:rFonts w:ascii="Times New Roman" w:hAnsi="Times New Roman"/>
          <w:bCs/>
          <w:sz w:val="24"/>
          <w:szCs w:val="24"/>
        </w:rPr>
        <w:t xml:space="preserve"> приказ министерства труда и социального развития Новосибирской области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</w:t>
      </w:r>
      <w:r>
        <w:rPr>
          <w:rFonts w:ascii="Times New Roman" w:hAnsi="Times New Roman"/>
          <w:bCs/>
          <w:sz w:val="24"/>
          <w:szCs w:val="24"/>
        </w:rPr>
        <w:t xml:space="preserve"> 19.06.2024 № 1333-НПА)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от 19.12.1997 № 89-ОЗ «О социальном партнерстве в Новосибирской области», </w:t>
      </w:r>
      <w:hyperlink r:id="rId14" w:tooltip="consultantplus://offline/ref=4A0141B0AD61B34603705432D1725432EF9EF91CE5BED4450BD9DC50C6C191220C025B329B30813DE76F6Du3X4C" w:history="1">
        <w:r>
          <w:rPr>
            <w:rFonts w:ascii="Times New Roman" w:hAnsi="Times New Roman" w:cs="Times New Roman"/>
            <w:bCs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Новосибирской области от 01.08.2017 № 296-п «Об утверждении Положения о министерстве труда и социального развития Новосибирской области», в целях организации работы по уведомительной регистрации коллективных трудовых споров на территории Новосибирской области и оказания содействия их урегулированию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ПРИКАЗЫВАЮ: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 Утвердить прилагаемый порядок проведения уведомительной регистрации коллективных трудовых споров и оказания содействия их урегулированию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 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территории 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Порядок).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 У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правлению труда министерства труда и социального развития Новосибирской области (Дмитриенко И.И.) обеспечить соблюдение Порядка.</w:t>
      </w:r>
    </w:p>
    <w:p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 Контроль за исполнением настоящего приказа возложить на первого заместителя министра труда и социального развития Новосибирской области Москалеву Е.М. </w:t>
      </w:r>
    </w:p>
    <w:p>
      <w:pPr>
        <w:pStyle w:val="afe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>
      <w:pPr>
        <w:pStyle w:val="afe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>
      <w:pPr>
        <w:pStyle w:val="afe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  <w:sectPr>
          <w:headerReference w:type="default" r:id="rId10"/>
          <w:type w:val="continuous"/>
          <w:pgSz w:w="11906" w:h="16838"/>
          <w:pgMar w:top="1134" w:right="567" w:bottom="1134" w:left="1418" w:header="567" w:footer="567" w:gutter="0"/>
          <w:cols w:space="708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Е.В. </w:t>
      </w:r>
      <w:r>
        <w:rPr>
          <w:rFonts w:ascii="Times New Roman" w:hAnsi="Times New Roman"/>
          <w:sz w:val="28"/>
          <w:szCs w:val="28"/>
        </w:rPr>
        <w:t xml:space="preserve">Бахарева</w:t>
      </w:r>
    </w:p>
    <w:p>
      <w:pPr>
        <w:widowControl w:val="off"/>
        <w:spacing w:after="0" w:line="240" w:lineRule="auto"/>
        <w:ind w:firstLine="623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</w:p>
    <w:p>
      <w:pPr>
        <w:widowControl w:val="off"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</w:t>
      </w:r>
      <w:r>
        <w:rPr>
          <w:rFonts w:ascii="Times New Roman" w:hAnsi="Times New Roman"/>
          <w:sz w:val="28"/>
          <w:szCs w:val="28"/>
        </w:rPr>
        <w:t xml:space="preserve"> министерства</w:t>
      </w:r>
    </w:p>
    <w:p>
      <w:pPr>
        <w:widowControl w:val="off"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труда</w:t>
      </w:r>
      <w:r>
        <w:rPr>
          <w:rFonts w:ascii="Times New Roman" w:hAnsi="Times New Roman"/>
          <w:sz w:val="28"/>
          <w:szCs w:val="28"/>
        </w:rPr>
        <w:t xml:space="preserve"> и социального развития</w:t>
      </w:r>
    </w:p>
    <w:p>
      <w:pPr>
        <w:widowControl w:val="off"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</w:p>
    <w:p>
      <w:pPr>
        <w:widowControl w:val="off"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«01»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июня 2022 № 617</w:t>
      </w:r>
    </w:p>
    <w:p>
      <w:pPr>
        <w:widowControl w:val="off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39"/>
      <w:bookmarkEnd w:id="1"/>
    </w:p>
    <w:p>
      <w:pPr>
        <w:widowControl w:val="off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</w:t>
      </w:r>
    </w:p>
    <w:p>
      <w:pPr>
        <w:widowControl w:val="o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УВЕДОМИТЕЛЬНОЙ РЕГИСТРАЦИИ </w:t>
      </w:r>
    </w:p>
    <w:p>
      <w:pPr>
        <w:widowControl w:val="o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КОЛЛЕКТИВНЫХ ТРУДОВЫХ СПОРОВ И ОКАЗАНИЯ</w:t>
      </w:r>
    </w:p>
    <w:p>
      <w:pPr>
        <w:widowControl w:val="o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СОДЕЙСТВИЯ ИХ УРЕГУЛИРОВАНИЮ НА ТЕРРИТОРИИ</w:t>
      </w:r>
    </w:p>
    <w:p>
      <w:pPr>
        <w:widowControl w:val="o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</w:t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. Общие положения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Порядок </w:t>
      </w:r>
      <w:r>
        <w:rPr>
          <w:rFonts w:ascii="Times New Roman" w:hAnsi="Times New Roman"/>
          <w:bCs/>
          <w:sz w:val="28"/>
          <w:szCs w:val="28"/>
        </w:rPr>
        <w:t xml:space="preserve">проведения уведомительной регистрации коллективных трудовых споров и оказания содействия их урегулированию на территории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 Порядок) разработан в соответствии с главой 61 Трудового кодекса Российской Федерации и статьей 32 Закона Новосибирской области от 19.12.1997 № 89-ОЗ «О социальном партнерстве в Новосибирской области» в целях осуществления министерством труда и социального развития Новосибирской области (далее – министерство) полномочий по проведению уведомительной регистрации </w:t>
      </w:r>
      <w:r>
        <w:rPr>
          <w:rFonts w:ascii="Times New Roman" w:hAnsi="Times New Roman"/>
          <w:bCs/>
          <w:sz w:val="28"/>
          <w:szCs w:val="28"/>
        </w:rPr>
        <w:t xml:space="preserve">коллективных трудовых споров и оказания содействия их урегулированию на территории Новосибирской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Уведомительную регистрацию </w:t>
      </w:r>
      <w:r>
        <w:rPr>
          <w:rFonts w:ascii="Times New Roman" w:hAnsi="Times New Roman"/>
          <w:bCs/>
          <w:sz w:val="28"/>
          <w:szCs w:val="28"/>
        </w:rPr>
        <w:t xml:space="preserve">коллективных трудовых споров и оказание содействия их урегулированию на территории Новосибирской области</w:t>
      </w:r>
      <w:r>
        <w:rPr>
          <w:rFonts w:ascii="Times New Roman" w:hAnsi="Times New Roman"/>
          <w:sz w:val="28"/>
          <w:szCs w:val="28"/>
        </w:rPr>
        <w:t xml:space="preserve"> осуществляет отдел социального партнерства и потребительских бюджетов управления труда министерства труда и социального развития Новосибирской области (далее – отдел).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3. Уведомительной регистрации подлежат коллективные трудовые споры, возникающие на территории Новосибирской области, за исключением коллективных трудовых споров </w:t>
      </w:r>
      <w:r>
        <w:rPr>
          <w:rFonts w:ascii="Times New Roman" w:hAnsi="Times New Roman" w:eastAsia="Calibri"/>
          <w:sz w:val="28"/>
          <w:szCs w:val="28"/>
        </w:rPr>
        <w:t xml:space="preserve">по поводу заключения, изменения и выполнения соглашений, заключаемых на федеральном уровне социального партнерства, коллективных трудовых споров в федеральных государственных органах, федеральных государственных учреждениях, федеральных государственных унитарных предприятиях, а также коллективных трудовых споров, возникающих в случаях, когда в соответствии с частями первой и второй статьи 413 Трудового кодекса Российской Федерации в целях разрешения коллективного трудового спора забастовка не может быть проведена.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Уведомительная регистрация коллективных трудовых споров осуществляется в соответствующем журнале (приложение № 1 к Порядку). Результатом уведомительной регистрации коллективного трудового спора является направление представителям сторон коллективного трудового спора уведомления о регистрации коллективного трудового спора (приложение № 2 к Порядку) или уведомления об отказе в регистрации коллективного трудового спора </w:t>
      </w:r>
      <w:r>
        <w:rPr>
          <w:rFonts w:ascii="Times New Roman" w:hAnsi="Times New Roman"/>
          <w:sz w:val="28"/>
          <w:szCs w:val="28"/>
        </w:rPr>
        <w:t xml:space="preserve">(</w:t>
      </w:r>
      <w:hyperlink w:tooltip="#P354" w:anchor="P354" w:history="1">
        <w:r>
          <w:rPr>
            <w:rFonts w:ascii="Times New Roman" w:hAnsi="Times New Roman"/>
            <w:sz w:val="28"/>
            <w:szCs w:val="28"/>
          </w:rPr>
          <w:t xml:space="preserve">приложение № 3 к Порядку)</w:t>
        </w:r>
      </w:hyperlink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Результатом </w:t>
      </w:r>
      <w:r>
        <w:rPr>
          <w:rFonts w:ascii="Times New Roman" w:hAnsi="Times New Roman"/>
          <w:bCs/>
          <w:sz w:val="28"/>
          <w:szCs w:val="28"/>
        </w:rPr>
        <w:t xml:space="preserve">оказания содействия урегулированию</w:t>
      </w:r>
      <w:r>
        <w:rPr>
          <w:rFonts w:ascii="Times New Roman" w:hAnsi="Times New Roman"/>
          <w:sz w:val="28"/>
          <w:szCs w:val="28"/>
        </w:rPr>
        <w:t xml:space="preserve"> коллективного трудового спора является направление представителям сторон коллективного трудового спора разъяснений: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по вопросу урегулирования коллективного трудового спора и (или) решения о создании трудового арбитража, его составе, регламенте и полномочиях, оформленных в письменной форме на бумажном носителе, а также рекомендованную кандидатуру посредника (при наличии соответствующего запроса);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по вопросу проведения забастовки, в случае если примирительные процедуры не привели к разрешению коллективного трудового спора.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По итогам полугодия и года отдел обобщает информацию о зарегистрированных коллективных трудовых спорах.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Информация о зарегистрированных коллективных трудовых спорах размещается на официальном сайте министерства в сети Интернет.</w:t>
      </w:r>
    </w:p>
    <w:p>
      <w:pPr>
        <w:widowControl w:val="off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/>
          <w:sz w:val="28"/>
          <w:szCs w:val="28"/>
        </w:rPr>
        <w:t xml:space="preserve">. Сроки уведомительной регистрации коллективного трудового спора</w:t>
      </w:r>
    </w:p>
    <w:p>
      <w:pPr>
        <w:widowControl w:val="off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оказания содействия его урегулированию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Письмо об уведомительной регистрации коллективного трудового спора и оказании содействия в его урегулировании регистрируется в день его поступления.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 Максимально допустимые сроки: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проведения уведомительной регистрации коллективного трудового спора – 10 рабочих дней со дня регистрации поступившего письма об уведомительной регистрации коллективного трудового спора;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 оказания содействия урегулированию коллективного трудового спора </w:t>
      </w:r>
      <w:r>
        <w:rPr>
          <w:rFonts w:ascii="Times New Roman" w:hAnsi="Times New Roman"/>
          <w:sz w:val="28"/>
          <w:szCs w:val="28"/>
        </w:rPr>
        <w:t xml:space="preserve">– 30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рабочих дней со дня регистрации поступившего письма об уведомительной регистрации коллективного трудового спора</w:t>
      </w:r>
      <w:r>
        <w:rPr>
          <w:rFonts w:ascii="Times New Roman" w:hAnsi="Times New Roman"/>
          <w:bCs/>
          <w:sz w:val="28"/>
          <w:szCs w:val="28"/>
        </w:rPr>
        <w:t xml:space="preserve">.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/>
          <w:sz w:val="28"/>
          <w:szCs w:val="28"/>
        </w:rPr>
        <w:t xml:space="preserve">. Документы, предоставляемые представителем стороны</w:t>
      </w:r>
    </w:p>
    <w:p>
      <w:pPr>
        <w:widowControl w:val="o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z w:val="28"/>
          <w:szCs w:val="28"/>
        </w:rPr>
        <w:t xml:space="preserve"> уведомительной регистрации коллективного трудового спора и</w:t>
      </w:r>
    </w:p>
    <w:p>
      <w:pPr>
        <w:widowControl w:val="o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оказания</w:t>
      </w:r>
      <w:r>
        <w:rPr>
          <w:rFonts w:ascii="Times New Roman" w:hAnsi="Times New Roman"/>
          <w:sz w:val="28"/>
          <w:szCs w:val="28"/>
        </w:rPr>
        <w:t xml:space="preserve"> содействия его урегулирования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120"/>
      <w:bookmarkEnd w:id="2"/>
      <w:r>
        <w:rPr>
          <w:rFonts w:ascii="Times New Roman" w:hAnsi="Times New Roman"/>
          <w:sz w:val="28"/>
          <w:szCs w:val="28"/>
        </w:rPr>
        <w:t xml:space="preserve">10. Для осуществления уведомительной регистрации коллективного трудового спора и оказания содействия его урегулированию представителем любой из сторон коллективного трудового спора (представителем работодателя или представителем работников) в министерство направляются следующие документы: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письмо об уведомительной регистрации коллективного трудового спора и оказании содействия в его урегулировании (приложение № 4 к Порядку);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документ, подтверждающий полномочия представителя стороны коллективного трудового спора;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документ, подтверждающий правовой статус сторон коллективного трудового спора;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удостоверенная представителем работников копия требований, направленных работодателю (представителю работодателей) или полученных </w:t>
      </w:r>
      <w:r>
        <w:rPr>
          <w:rFonts w:ascii="Times New Roman" w:hAnsi="Times New Roman"/>
          <w:sz w:val="28"/>
          <w:szCs w:val="28"/>
        </w:rPr>
        <w:t xml:space="preserve">работодателем (представителем работодателей);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удостоверенная представителем копия сообщения работодателя (представителя работодателя) о принятом решении относительно требований работников (представителей работников) - при наличии;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информация в письменной форме о характере, причинах и предмете неурегулированных разногласий между сторонами коллективного трудового спора.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письму может также прилагаться иная (дополнительная) информация, характеризующая коллективный трудовой спор.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 В уведомительной регистрации коллективного трудового спора и оказании содействия его урегулированию может быть отказано в следующих случаях: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не представления (представления не в полном объеме) документов, предусмотренных пунктом 10 Порядка, или в представленных документах отсутствуют сведения, предусмотренные формой приложения № 4 к Порядку; 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наличия в представленных документах повреждений, исправлений, которые не позволяют однозначно истолковать их содержание;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не соблюдения порядка выдвижения требований работниками в соответствии с Трудовым кодексом Российской Федерации; 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если информация, изложенная в письме, не относится по существу к коллективному трудовому спору; 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не соответствия правового статуса сторон коллективного трудового спора требованиям, установленным статьями 23-31 и частью пятой статьи 40 Трудового кодекса Российской Федерации;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предметом разногласий сторон коллективного трудового спора является </w:t>
      </w:r>
      <w:r>
        <w:rPr>
          <w:rFonts w:ascii="Times New Roman" w:hAnsi="Times New Roman" w:cs="Calibri"/>
          <w:sz w:val="28"/>
          <w:szCs w:val="28"/>
        </w:rPr>
        <w:t xml:space="preserve">заключение, изменение и выполнение соглашений, заключаемых на федеральном уровне социального партнерства;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</w:t>
      </w:r>
      <w:r>
        <w:rPr>
          <w:rFonts w:ascii="Times New Roman" w:hAnsi="Times New Roman" w:cs="Calibri"/>
          <w:sz w:val="28"/>
          <w:szCs w:val="28"/>
        </w:rPr>
        <w:t xml:space="preserve">коллективный трудовой спор произошел в федеральных государственных органах, федеральных государственных учреждениях, федеральных государственных унитарных предприятиях;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 если </w:t>
      </w:r>
      <w:r>
        <w:rPr>
          <w:rFonts w:ascii="Times New Roman" w:hAnsi="Times New Roman" w:cs="Calibri"/>
          <w:sz w:val="28"/>
          <w:szCs w:val="28"/>
        </w:rPr>
        <w:t xml:space="preserve">в соответствии с частями первой и второй статьи 413 Трудового кодекса Российской Федерации в целях разрешения коллективного трудового спора не может быть проведена забастовка.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 В случае принятия решения об отказе в уведомительной регистрации коллективного трудового спора и оказании содействия его урегулированию представителям сторон коллективного трудового спора направляется уведомление об отказе.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IV</w:t>
      </w:r>
      <w:r>
        <w:rPr>
          <w:rFonts w:ascii="Times New Roman" w:hAnsi="Times New Roman"/>
          <w:sz w:val="28"/>
          <w:szCs w:val="28"/>
        </w:rPr>
        <w:t xml:space="preserve">. Последовательность действий</w:t>
      </w:r>
    </w:p>
    <w:p>
      <w:pPr>
        <w:widowControl w:val="off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</w:t>
      </w:r>
      <w:r>
        <w:rPr>
          <w:rFonts w:ascii="Times New Roman" w:hAnsi="Times New Roman"/>
          <w:sz w:val="28"/>
          <w:szCs w:val="28"/>
        </w:rPr>
        <w:t xml:space="preserve"> уведомительной регистрации коллективного трудового спора </w:t>
      </w:r>
    </w:p>
    <w:p>
      <w:pPr>
        <w:widowControl w:val="o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143"/>
      <w:bookmarkEnd w:id="3"/>
      <w:r>
        <w:rPr>
          <w:rFonts w:ascii="Times New Roman" w:hAnsi="Times New Roman"/>
          <w:sz w:val="28"/>
          <w:szCs w:val="28"/>
        </w:rPr>
        <w:t xml:space="preserve">13. Началом осуществления уведомительной регистрации коллективного трудового спора считается дата регистрации поступившего в министерство письма о проведении уведомительной регистрации коллективного трудового спора и оказании содействия в его урегулировании. 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 Специалист отдела, уполномоченный на проведение уведомительной регистрации коллективного трудового спора и оказание содействия его урегулированию, осуществляет следующие действия: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фиксирует в журнале регистрации коллективных трудовых споров информацию из поступившего письма об уведомительной регистрации коллективного трудового спора и оказании содействия в его урегулировании;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проверяет соответствие представленных документов перечню документов, предусмотренных пунктом 10 Порядка;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анализирует сведения, содержащиеся в документах, на их соответствие по существу коллективного трудового спора;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проверяет соблюдение порядка выдвижения требований работниками в соответствии с Трудовым кодексом Российской Федерации; 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проверяет полномочия представителей сторон коллективного трудового спора, устанавливает соответствие или несоответствие правового статуса сторон коллективного трудового спора требованиям, установленным Трудовым </w:t>
      </w:r>
      <w:hyperlink r:id="rId15" w:tooltip="consultantplus://offline/ref=D581A6E17B542977751FE02D49DBF2E80EC4FB29FEE4BED5346B60236A82160A26641E4679817E5CDE09B7AE34B9a5J" w:history="1">
        <w:r>
          <w:rPr>
            <w:rFonts w:ascii="Times New Roman" w:hAnsi="Times New Roman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Федерации;</w:t>
      </w:r>
      <w:r>
        <w:rPr>
          <w:rFonts w:cs="Calibri"/>
          <w:szCs w:val="20"/>
        </w:rPr>
        <w:t xml:space="preserve"> 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проверяет получение требований (копии требований) другой стороной коллективного трудового спора; 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устанавливает, что предмет разногласий сторон коллективного трудового спора не относится к </w:t>
      </w:r>
      <w:r>
        <w:rPr>
          <w:rFonts w:ascii="Times New Roman" w:hAnsi="Times New Roman" w:cs="Calibri"/>
          <w:sz w:val="28"/>
          <w:szCs w:val="28"/>
        </w:rPr>
        <w:t xml:space="preserve">заключению, изменению и выполнению соглашений, заключаемых на федеральном уровне социального партнерства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 устанавливает, что организация, в которой возник коллективный трудовой спор, не относится к </w:t>
      </w:r>
      <w:r>
        <w:rPr>
          <w:rFonts w:ascii="Times New Roman" w:hAnsi="Times New Roman" w:cs="Calibri"/>
          <w:sz w:val="28"/>
          <w:szCs w:val="28"/>
        </w:rPr>
        <w:t xml:space="preserve">федеральным государственным органам, федеральным государственным учреждениям, федеральным государственным унитарным предприятиям;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 устанавливает, что коллективный трудовой спор в соответствии с законодательством Российской Федерации может быть разрешен путем проведения забастовки;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 в случае принятия решения об уведомительной регистрации коллективного трудового спора и оказании содействия его урегулированию, осуществляет подготовку уведомления о регистрации коллективного трудового спора и оказании содействия его урегулированию;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 в случае наличия оснований для отказа в уведомительной регистрации коллективного трудового спора и оказании содействия его урегулированию, осуществляет подготовку </w:t>
      </w:r>
      <w:hyperlink w:tooltip="#P553" w:anchor="P553" w:history="1">
        <w:r>
          <w:rPr>
            <w:rFonts w:ascii="Times New Roman" w:hAnsi="Times New Roman"/>
            <w:sz w:val="28"/>
            <w:szCs w:val="28"/>
          </w:rPr>
          <w:t xml:space="preserve">уведомления</w:t>
        </w:r>
      </w:hyperlink>
      <w:r>
        <w:rPr>
          <w:rFonts w:ascii="Times New Roman" w:hAnsi="Times New Roman"/>
          <w:sz w:val="28"/>
          <w:szCs w:val="28"/>
        </w:rPr>
        <w:t xml:space="preserve"> об отказе в регистрации коллективного трудового спора и оказании содействия его урегулированию;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 вносит в журнал регистрации коллективных трудовых споров соответствующую информацию;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 готовит три экземпляра уведомления за подписью министра труда и социального развития Новосибирской области;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 регистрирует уведомление;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 фиксирует соответствующую информацию в журнале регистрации коллективных трудовых споров;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 направляет представителям сторон коллективного трудового спора уведомления, оставив на хранение в отделе один экземпляр.</w:t>
      </w:r>
    </w:p>
    <w:p>
      <w:pPr>
        <w:widowControl w:val="off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/>
          <w:sz w:val="28"/>
          <w:szCs w:val="28"/>
        </w:rPr>
        <w:t xml:space="preserve">. Последовательность действий при оказании содействия в</w:t>
      </w:r>
    </w:p>
    <w:p>
      <w:pPr>
        <w:widowControl w:val="off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урегулировании</w:t>
      </w:r>
      <w:r>
        <w:rPr>
          <w:rFonts w:ascii="Times New Roman" w:hAnsi="Times New Roman"/>
          <w:sz w:val="28"/>
          <w:szCs w:val="28"/>
        </w:rPr>
        <w:t xml:space="preserve"> коллективного трудового спора</w:t>
      </w:r>
    </w:p>
    <w:p>
      <w:pPr>
        <w:widowControl w:val="off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 В случае если в письме об уведомительной регистрации и оказании содействия в урегулировании коллективного трудового спора указано на необходимость получения разъяснений по вопросу урегулирования коллективного трудового спора, помощи в подборе кандидатуры посредника и (или) помощи в создании трудового арбитража, определении его регламента и полномочий, то специалист отдела, участвующий в проведении уведомительной регистрации и оказании содействия в урегулировании коллективного трудового спора: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оформляет в письменной форме разъяснения сторонам коллективного трудового спора о порядке </w:t>
      </w:r>
      <w:r>
        <w:rPr>
          <w:rFonts w:ascii="Times New Roman" w:hAnsi="Times New Roman"/>
          <w:sz w:val="28"/>
          <w:szCs w:val="28"/>
        </w:rPr>
        <w:t xml:space="preserve">правоприменения</w:t>
      </w:r>
      <w:r>
        <w:rPr>
          <w:rFonts w:ascii="Times New Roman" w:hAnsi="Times New Roman"/>
          <w:sz w:val="28"/>
          <w:szCs w:val="28"/>
        </w:rPr>
        <w:t xml:space="preserve"> норм законодательства Российской Федерации по вопросам урегулирования коллективных трудовых споров;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предоставляет в случае необходимости сведения о кандидатурах, которые могут быть привлечены в качестве посредника и (или) трудовых арбитров при рассмотрении коллективного трудового спора;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разъясняет порядок и сроки создания трудового арбитража, его полномочия, порядок принятия и выполнения решений трудового арбитража;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готовит проект письма в областной исполнительный орган Новосибирской области или орган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муниципального района (муниципального округа или городского округа)</w:t>
      </w:r>
      <w:r>
        <w:rPr>
          <w:rFonts w:ascii="Times New Roman" w:hAnsi="Times New Roman"/>
          <w:sz w:val="28"/>
          <w:szCs w:val="28"/>
        </w:rPr>
        <w:t xml:space="preserve"> Новосибирской области о необходимости привлечения специалистов данных органов к участию в урегулировании коллективного трудового спора.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 Специалист отдела совместно со сторонами коллективного трудового спора в срок не позднее трех рабочих дней со дня окончания рассмотрения коллективного трудового спора примирительной комиссией и (или) посредником принимает участие в создании трудового арбитража, формировании состава трудового арбитража, разработке регламента трудового арбитража, определении полномочий трудового арбитража.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 Специалист отдела, входящий в состав трудового арбитража: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рассматривает обращения сторон коллективного трудового спора;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получает необходимые документы и сведения, касающиеся коллективного трудового спора;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в случае необходимости готовит письмо за подписью министра труда и социального развития Новосибирской области в органы государственной власти, органы местного самоуправления о возможных социальных последствиях коллективного трудового спора;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участвует в принятии решения по существу коллективного трудового спора;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участвует в оформлении решения трудового арбитража по существу коллективного трудового спора в письменной форме и передаче его сторонам коллективного трудового спора.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 В случае необходимости министерство привлекает к урегулированию коллективного трудового спора в организации областной исполнительный орган </w:t>
      </w:r>
      <w:r>
        <w:rPr>
          <w:rFonts w:ascii="Times New Roman" w:hAnsi="Times New Roman"/>
          <w:sz w:val="28"/>
          <w:szCs w:val="28"/>
        </w:rPr>
        <w:t xml:space="preserve">Новосибирской области или орган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муниципального района (муниципального округа или городского округа) </w:t>
      </w:r>
      <w:r>
        <w:rPr>
          <w:rFonts w:ascii="Times New Roman" w:hAnsi="Times New Roman"/>
          <w:sz w:val="28"/>
          <w:szCs w:val="28"/>
        </w:rPr>
        <w:t xml:space="preserve">Новосибирской области.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VI</w:t>
      </w:r>
      <w:r>
        <w:rPr>
          <w:rFonts w:ascii="Times New Roman" w:hAnsi="Times New Roman"/>
          <w:sz w:val="28"/>
          <w:szCs w:val="28"/>
        </w:rPr>
        <w:t xml:space="preserve">. Последовательность действий в случае, если примирительные процедуры не привели к разрешению коллективного трудового спора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 В случае если в министерство поступило письмо от представителя стороны коллективного трудового спора с информацией, что примирительные процедуры не привели к разрешению коллективного трудового спора или представители работодателей уклоняются от участия в примирительных процедурах, не выполняют соглашение, достигнутое в ходе разрешения коллективного трудового спора, или не исполняют решение трудового арбитража, имеющее обязательную для сторон силу, специалист отдела:</w:t>
      </w:r>
    </w:p>
    <w:p>
      <w:pPr>
        <w:widowControl w:val="o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фиксирует соответствующую информацию в журнале регистрации коллективных трудовых споров;</w:t>
      </w:r>
    </w:p>
    <w:p>
      <w:pPr>
        <w:widowControl w:val="o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готовит за подписью министра труда и социального развития Новосибирской области письмо с разъяснениями сторонам коллективного трудового спора:</w:t>
      </w:r>
    </w:p>
    <w:p>
      <w:pPr>
        <w:widowControl w:val="o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методе разрешения коллективного трудового спора - забастовке;</w:t>
      </w:r>
    </w:p>
    <w:p>
      <w:pPr>
        <w:widowControl w:val="o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условиях и порядке объявления и проведения забастовки;</w:t>
      </w:r>
    </w:p>
    <w:p>
      <w:pPr>
        <w:widowControl w:val="o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признаках незаконных забастовок;</w:t>
      </w:r>
    </w:p>
    <w:p>
      <w:pPr>
        <w:widowControl w:val="o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случаях ограничения права на забастовку;</w:t>
      </w:r>
    </w:p>
    <w:p>
      <w:pPr>
        <w:widowControl w:val="o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правовом положении работников в связи с проведением забастовки;</w:t>
      </w:r>
    </w:p>
    <w:p>
      <w:pPr>
        <w:widowControl w:val="o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гарантиях для работников при проведении забастовки;</w:t>
      </w:r>
    </w:p>
    <w:p>
      <w:pPr>
        <w:widowControl w:val="o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ответственности за незаконные забастовки;</w:t>
      </w:r>
    </w:p>
    <w:p>
      <w:pPr>
        <w:widowControl w:val="o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ответственности за уклонение от участия в примирительных процедурах, невыполнение соглашения, достигнутого в результате примирительных процедур, неисполнение либо отказ от исполнения решения трудового арбитража;</w:t>
      </w:r>
    </w:p>
    <w:p>
      <w:pPr>
        <w:widowControl w:val="o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обязанностях сторон коллективного трудового спора в ходе проведения забастовки.</w:t>
      </w:r>
    </w:p>
    <w:p>
      <w:pPr>
        <w:widowControl w:val="off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направляет письмо с разъяснениями представителям сторон коллективного трудового спора.</w:t>
      </w:r>
    </w:p>
    <w:p>
      <w:pPr>
        <w:widowControl w:val="off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VI</w:t>
      </w:r>
      <w:r>
        <w:rPr>
          <w:rFonts w:ascii="Times New Roman" w:hAnsi="Times New Roman"/>
          <w:sz w:val="28"/>
          <w:szCs w:val="28"/>
        </w:rPr>
        <w:t xml:space="preserve">. Текущий контроль за соблюдением Порядка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>
          <w:pgSz w:w="11906" w:h="16838"/>
          <w:pgMar w:top="1134" w:right="567" w:bottom="1134" w:left="1418" w:header="567" w:footer="567" w:gutter="0"/>
          <w:pgNumType w:start="2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20. Текущий контроль за соблюдением последовательности действий, определенных Порядком, осуществляется начальником отдела, начальником управления труда министерства в форме проведения проверок журнала уведомительной регистрации коллективных трудовых споров и материалов зарегистрированных коллективных трудовых споров.</w:t>
      </w:r>
    </w:p>
    <w:p>
      <w:pPr>
        <w:widowControl w:val="off"/>
        <w:spacing w:after="0" w:line="240" w:lineRule="auto"/>
        <w:ind w:firstLine="10632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</w:t>
      </w:r>
    </w:p>
    <w:p>
      <w:pPr>
        <w:widowControl w:val="off"/>
        <w:spacing w:after="0" w:line="240" w:lineRule="auto"/>
        <w:ind w:firstLine="106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порядку проведения уведомительной</w:t>
      </w:r>
    </w:p>
    <w:p>
      <w:pPr>
        <w:widowControl w:val="off"/>
        <w:spacing w:after="0" w:line="240" w:lineRule="auto"/>
        <w:ind w:firstLine="106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регистрации</w:t>
      </w:r>
      <w:r>
        <w:rPr>
          <w:rFonts w:ascii="Times New Roman" w:hAnsi="Times New Roman"/>
          <w:sz w:val="24"/>
          <w:szCs w:val="24"/>
        </w:rPr>
        <w:t xml:space="preserve"> коллективных трудовых споров</w:t>
      </w:r>
    </w:p>
    <w:p>
      <w:pPr>
        <w:widowControl w:val="off"/>
        <w:spacing w:after="0" w:line="240" w:lineRule="auto"/>
        <w:ind w:firstLine="106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оказания содействия их урегулированию</w:t>
      </w:r>
    </w:p>
    <w:p>
      <w:pPr>
        <w:widowControl w:val="off"/>
        <w:spacing w:after="0" w:line="240" w:lineRule="auto"/>
        <w:ind w:firstLine="106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территории Новосибирской области</w:t>
      </w:r>
    </w:p>
    <w:p>
      <w:pPr>
        <w:widowControl w:val="off"/>
        <w:spacing w:after="0" w:line="240" w:lineRule="auto"/>
        <w:ind w:firstLine="10632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P316"/>
      <w:bookmarkEnd w:id="4"/>
      <w:r>
        <w:rPr>
          <w:rFonts w:ascii="Times New Roman" w:hAnsi="Times New Roman"/>
          <w:sz w:val="28"/>
          <w:szCs w:val="28"/>
        </w:rPr>
        <w:t xml:space="preserve">Журнал</w:t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уведомительной</w:t>
      </w:r>
      <w:r>
        <w:rPr>
          <w:rFonts w:ascii="Times New Roman" w:hAnsi="Times New Roman"/>
          <w:sz w:val="28"/>
          <w:szCs w:val="28"/>
        </w:rPr>
        <w:t xml:space="preserve"> регистрации коллективных трудовых споров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022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32"/>
        <w:gridCol w:w="1808"/>
        <w:gridCol w:w="1670"/>
        <w:gridCol w:w="2363"/>
        <w:gridCol w:w="2643"/>
        <w:gridCol w:w="1947"/>
        <w:gridCol w:w="2200"/>
        <w:gridCol w:w="1559"/>
      </w:tblGrid>
      <w:tr>
        <w:tc>
          <w:tcPr>
            <w:tcW w:w="832" w:type="dxa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1808" w:type="dxa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входящий номер письма об уведомительной регистрации коллективного трудового спора</w:t>
            </w:r>
          </w:p>
        </w:tc>
        <w:tc>
          <w:tcPr>
            <w:tcW w:w="1670" w:type="dxa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2363" w:type="dxa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сторон коллективного трудового спора</w:t>
            </w:r>
          </w:p>
        </w:tc>
        <w:tc>
          <w:tcPr>
            <w:tcW w:w="2643" w:type="dxa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 сторон коллективного трудового спора (почтовый адрес), контактные телефоны, адрес электронной почты </w:t>
            </w:r>
          </w:p>
        </w:tc>
        <w:tc>
          <w:tcPr>
            <w:tcW w:w="1947" w:type="dxa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- при наличии), должность представителей сторон коллективного трудового спора</w:t>
            </w:r>
          </w:p>
        </w:tc>
        <w:tc>
          <w:tcPr>
            <w:tcW w:w="2200" w:type="dxa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Отметка о соответствии представленных документов, необходимых для уведомительной регистрации коллективного трудового спора</w:t>
            </w:r>
          </w:p>
        </w:tc>
        <w:tc>
          <w:tcPr>
            <w:tcW w:w="1559" w:type="dxa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начала коллективного трудового спора</w:t>
            </w:r>
          </w:p>
        </w:tc>
      </w:tr>
      <w:tr>
        <w:trPr>
          <w:trHeight w:val="261"/>
        </w:trPr>
        <w:tc>
          <w:tcPr>
            <w:tcW w:w="832" w:type="dxa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1808" w:type="dxa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1670" w:type="dxa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2363" w:type="dxa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  <w:tc>
          <w:tcPr>
            <w:tcW w:w="2643" w:type="dxa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</w:p>
        </w:tc>
        <w:tc>
          <w:tcPr>
            <w:tcW w:w="1947" w:type="dxa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</w:p>
        </w:tc>
        <w:tc>
          <w:tcPr>
            <w:tcW w:w="2200" w:type="dxa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</w:p>
        </w:tc>
        <w:tc>
          <w:tcPr>
            <w:tcW w:w="1559" w:type="dxa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</w:p>
        </w:tc>
      </w:tr>
    </w:tbl>
    <w:p/>
    <w:tbl>
      <w:tblPr>
        <w:tblW w:w="150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1932"/>
        <w:gridCol w:w="2977"/>
        <w:gridCol w:w="1559"/>
        <w:gridCol w:w="1701"/>
        <w:gridCol w:w="2977"/>
        <w:gridCol w:w="1843"/>
      </w:tblGrid>
      <w:tr>
        <w:trPr>
          <w:trHeight w:val="2559"/>
        </w:trPr>
        <w:tc>
          <w:tcPr>
            <w:tcW w:w="2032" w:type="dxa"/>
            <w:shd w:val="clear" w:color="auto" w:fill="auto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регистрации и регистрационный номер коллективного трудового спора</w:t>
            </w:r>
          </w:p>
        </w:tc>
        <w:tc>
          <w:tcPr>
            <w:tcW w:w="1932" w:type="dxa"/>
            <w:shd w:val="clear" w:color="auto" w:fill="auto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разрешения коллективного трудового спора на момент регистрации коллективного трудового спора</w:t>
            </w:r>
          </w:p>
        </w:tc>
        <w:tc>
          <w:tcPr>
            <w:tcW w:w="2977" w:type="dxa"/>
            <w:shd w:val="clear" w:color="auto" w:fill="auto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исходящий номер уведомления, направленного заявителю, о регистрации в уведомительном порядке коллективного трудового спора или отказе в регистрации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выдвинутых требований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рассмотрения коллективного трудового спора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- при наличии), должность специалиста, участвующего в разрешении коллективного трудового спора от органа государственной власти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результатах рассмотрения коллективного трудового спора на всех этапах его разрешения</w:t>
            </w:r>
          </w:p>
          <w:p/>
        </w:tc>
      </w:tr>
      <w:tr>
        <w:trPr>
          <w:trHeight w:val="259"/>
        </w:trPr>
        <w:tc>
          <w:tcPr>
            <w:tcW w:w="2032" w:type="dxa"/>
            <w:shd w:val="clear" w:color="auto" w:fill="auto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</w:p>
        </w:tc>
        <w:tc>
          <w:tcPr>
            <w:tcW w:w="1932" w:type="dxa"/>
            <w:shd w:val="clear" w:color="auto" w:fill="auto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</w:p>
        </w:tc>
        <w:tc>
          <w:tcPr>
            <w:tcW w:w="2977" w:type="dxa"/>
            <w:shd w:val="clear" w:color="auto" w:fill="auto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</w:p>
        </w:tc>
        <w:tc>
          <w:tcPr>
            <w:tcW w:w="2977" w:type="dxa"/>
            <w:shd w:val="clear" w:color="auto" w:fill="auto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</w:p>
        </w:tc>
      </w:tr>
    </w:tbl>
    <w:p>
      <w:pPr>
        <w:sectPr>
          <w:headerReference w:type="default" r:id="rId11"/>
          <w:pgSz w:w="16838" w:h="11905" w:orient="landscape"/>
          <w:pgMar w:top="1418" w:right="395" w:bottom="567" w:left="1134" w:header="709" w:footer="709" w:gutter="0"/>
          <w:pgNumType w:start="8"/>
          <w:cols w:space="720"/>
          <w:docGrid w:linePitch="360"/>
          <w:titlePg/>
        </w:sectPr>
      </w:pPr>
    </w:p>
    <w:p>
      <w:pPr>
        <w:widowControl w:val="off"/>
        <w:spacing w:after="0" w:line="240" w:lineRule="auto"/>
        <w:ind w:firstLine="4962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2</w:t>
      </w:r>
    </w:p>
    <w:p>
      <w:pPr>
        <w:widowControl w:val="off"/>
        <w:spacing w:after="0" w:line="240" w:lineRule="auto"/>
        <w:ind w:firstLine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порядку проведения уведомительной</w:t>
      </w:r>
    </w:p>
    <w:p>
      <w:pPr>
        <w:widowControl w:val="off"/>
        <w:spacing w:after="0" w:line="240" w:lineRule="auto"/>
        <w:ind w:firstLine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регистрации</w:t>
      </w:r>
      <w:r>
        <w:rPr>
          <w:rFonts w:ascii="Times New Roman" w:hAnsi="Times New Roman"/>
          <w:sz w:val="24"/>
          <w:szCs w:val="24"/>
        </w:rPr>
        <w:t xml:space="preserve"> коллективных трудовых споров</w:t>
      </w:r>
    </w:p>
    <w:p>
      <w:pPr>
        <w:widowControl w:val="off"/>
        <w:spacing w:after="0" w:line="240" w:lineRule="auto"/>
        <w:ind w:firstLine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оказания</w:t>
      </w:r>
      <w:r>
        <w:rPr>
          <w:rFonts w:ascii="Times New Roman" w:hAnsi="Times New Roman"/>
          <w:sz w:val="24"/>
          <w:szCs w:val="24"/>
        </w:rPr>
        <w:t xml:space="preserve"> содействия их урегулированию</w:t>
      </w:r>
    </w:p>
    <w:p>
      <w:pPr>
        <w:widowControl w:val="off"/>
        <w:spacing w:after="0" w:line="240" w:lineRule="auto"/>
        <w:ind w:firstLine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территории Новосибирской области</w:t>
      </w:r>
    </w:p>
    <w:p>
      <w:pPr>
        <w:widowControl w:val="o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бланке министерства труда и социального развития Новосибирской области</w:t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представителей </w:t>
      </w:r>
    </w:p>
    <w:p>
      <w:pPr>
        <w:widowControl w:val="off"/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сторон</w:t>
      </w:r>
      <w:r>
        <w:rPr>
          <w:rFonts w:ascii="Times New Roman" w:hAnsi="Times New Roman"/>
          <w:sz w:val="28"/>
          <w:szCs w:val="28"/>
        </w:rPr>
        <w:t xml:space="preserve"> коллективного трудового</w:t>
      </w:r>
    </w:p>
    <w:p>
      <w:pPr>
        <w:widowControl w:val="off"/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спора</w:t>
      </w:r>
    </w:p>
    <w:p>
      <w:pPr>
        <w:widowControl w:val="off"/>
        <w:spacing w:after="0" w:line="240" w:lineRule="auto"/>
        <w:ind w:firstLine="540"/>
        <w:jc w:val="both"/>
        <w:rPr>
          <w:rFonts w:cs="Calibri"/>
          <w:szCs w:val="20"/>
        </w:rPr>
      </w:pP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P393"/>
      <w:bookmarkEnd w:id="5"/>
      <w:r>
        <w:rPr>
          <w:rFonts w:ascii="Times New Roman" w:hAnsi="Times New Roman"/>
          <w:sz w:val="28"/>
          <w:szCs w:val="28"/>
        </w:rPr>
        <w:t xml:space="preserve">УВЕДОМЛЕНИЕ</w:t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регистрации коллективного трудового спора</w:t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</w:t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</w:t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</w:t>
      </w:r>
      <w:r>
        <w:rPr>
          <w:rFonts w:ascii="Times New Roman" w:hAnsi="Times New Roman"/>
          <w:sz w:val="20"/>
          <w:szCs w:val="20"/>
        </w:rPr>
        <w:t xml:space="preserve">полное</w:t>
      </w:r>
      <w:r>
        <w:rPr>
          <w:rFonts w:ascii="Times New Roman" w:hAnsi="Times New Roman"/>
          <w:sz w:val="20"/>
          <w:szCs w:val="20"/>
        </w:rPr>
        <w:t xml:space="preserve"> наименование организации, в которой произошел коллективный трудовой спор)</w:t>
      </w:r>
    </w:p>
    <w:p>
      <w:pPr>
        <w:widowControl w:val="o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труда и социального развития Новосибирской области сообщает, что коллективный трудовой спор 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</w:t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</w:t>
      </w:r>
      <w:r>
        <w:rPr>
          <w:rFonts w:ascii="Times New Roman" w:hAnsi="Times New Roman"/>
          <w:sz w:val="20"/>
          <w:szCs w:val="20"/>
        </w:rPr>
        <w:t xml:space="preserve">полное</w:t>
      </w:r>
      <w:r>
        <w:rPr>
          <w:rFonts w:ascii="Times New Roman" w:hAnsi="Times New Roman"/>
          <w:sz w:val="20"/>
          <w:szCs w:val="20"/>
        </w:rPr>
        <w:t xml:space="preserve"> наименование организации, в которой произошел коллективный трудовой спор)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зарегистрирован</w:t>
      </w:r>
      <w:r>
        <w:rPr>
          <w:rFonts w:ascii="Times New Roman" w:hAnsi="Times New Roman"/>
          <w:sz w:val="28"/>
          <w:szCs w:val="28"/>
        </w:rPr>
        <w:t xml:space="preserve"> _________________________________________ 20___ г.</w:t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</w:t>
      </w:r>
      <w:r>
        <w:rPr>
          <w:rFonts w:ascii="Times New Roman" w:hAnsi="Times New Roman"/>
          <w:sz w:val="20"/>
          <w:szCs w:val="20"/>
        </w:rPr>
        <w:t xml:space="preserve">дата</w:t>
      </w:r>
      <w:r>
        <w:rPr>
          <w:rFonts w:ascii="Times New Roman" w:hAnsi="Times New Roman"/>
          <w:sz w:val="20"/>
          <w:szCs w:val="20"/>
        </w:rPr>
        <w:t xml:space="preserve"> регистрации)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Регистрационный номер _____________.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906"/>
        <w:gridCol w:w="1756"/>
        <w:gridCol w:w="3119"/>
      </w:tblGrid>
      <w:tr>
        <w:tc>
          <w:tcPr>
            <w:tcW w:w="5103" w:type="dxa"/>
            <w:shd w:val="clear" w:color="auto" w:fill="auto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социального развития</w:t>
            </w:r>
          </w:p>
          <w:p>
            <w:pPr>
              <w:widowControl w:val="o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</w:p>
        </w:tc>
        <w:tc>
          <w:tcPr>
            <w:tcW w:w="1437" w:type="dxa"/>
            <w:shd w:val="clear" w:color="auto" w:fill="auto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</w:t>
            </w:r>
          </w:p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</w:p>
        </w:tc>
        <w:tc>
          <w:tcPr>
            <w:tcW w:w="3241" w:type="dxa"/>
            <w:shd w:val="clear" w:color="auto" w:fill="auto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(последнее - при наличии)</w:t>
            </w:r>
          </w:p>
        </w:tc>
      </w:tr>
    </w:tbl>
    <w:p>
      <w:pPr>
        <w:widowControl w:val="o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widowControl w:val="o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>
          <w:pgSz w:w="11905" w:h="16838"/>
          <w:pgMar w:top="1134" w:right="706" w:bottom="1134" w:left="1560" w:header="709" w:footer="709" w:gutter="0"/>
          <w:pgNumType w:start="9"/>
          <w:cols w:space="720"/>
          <w:docGrid w:linePitch="360"/>
          <w:titlePg/>
        </w:sectPr>
      </w:pPr>
    </w:p>
    <w:p>
      <w:pPr>
        <w:widowControl w:val="off"/>
        <w:spacing w:after="0" w:line="240" w:lineRule="auto"/>
        <w:ind w:firstLine="540"/>
        <w:jc w:val="both"/>
        <w:rPr>
          <w:rFonts w:cs="Calibri"/>
          <w:szCs w:val="20"/>
        </w:rPr>
      </w:pPr>
    </w:p>
    <w:p>
      <w:pPr>
        <w:widowControl w:val="off"/>
        <w:spacing w:after="0" w:line="240" w:lineRule="auto"/>
        <w:ind w:firstLine="5245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3</w:t>
      </w:r>
    </w:p>
    <w:p>
      <w:pPr>
        <w:widowControl w:val="off"/>
        <w:spacing w:after="0" w:line="240" w:lineRule="auto"/>
        <w:ind w:firstLine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порядку проведения уведомительной</w:t>
      </w:r>
    </w:p>
    <w:p>
      <w:pPr>
        <w:widowControl w:val="off"/>
        <w:spacing w:after="0" w:line="240" w:lineRule="auto"/>
        <w:ind w:firstLine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регистрации</w:t>
      </w:r>
      <w:r>
        <w:rPr>
          <w:rFonts w:ascii="Times New Roman" w:hAnsi="Times New Roman"/>
          <w:sz w:val="24"/>
          <w:szCs w:val="24"/>
        </w:rPr>
        <w:t xml:space="preserve"> коллективных трудовых споров</w:t>
      </w:r>
    </w:p>
    <w:p>
      <w:pPr>
        <w:widowControl w:val="off"/>
        <w:spacing w:after="0" w:line="240" w:lineRule="auto"/>
        <w:ind w:firstLine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оказания</w:t>
      </w:r>
      <w:r>
        <w:rPr>
          <w:rFonts w:ascii="Times New Roman" w:hAnsi="Times New Roman"/>
          <w:sz w:val="24"/>
          <w:szCs w:val="24"/>
        </w:rPr>
        <w:t xml:space="preserve"> содействия их урегулированию</w:t>
      </w:r>
    </w:p>
    <w:p>
      <w:pPr>
        <w:widowControl w:val="off"/>
        <w:spacing w:after="0" w:line="240" w:lineRule="auto"/>
        <w:ind w:firstLine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территории Новосибирской области</w:t>
      </w:r>
    </w:p>
    <w:p>
      <w:pPr>
        <w:widowControl w:val="o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бланке министерства труда и социального развития Новосибирской области</w:t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представителей </w:t>
      </w:r>
    </w:p>
    <w:p>
      <w:pPr>
        <w:widowControl w:val="off"/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сторон</w:t>
      </w:r>
      <w:r>
        <w:rPr>
          <w:rFonts w:ascii="Times New Roman" w:hAnsi="Times New Roman"/>
          <w:sz w:val="28"/>
          <w:szCs w:val="28"/>
        </w:rPr>
        <w:t xml:space="preserve"> коллективного трудового</w:t>
      </w:r>
    </w:p>
    <w:p>
      <w:pPr>
        <w:widowControl w:val="off"/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спора</w:t>
      </w:r>
    </w:p>
    <w:p>
      <w:pPr>
        <w:widowControl w:val="off"/>
        <w:spacing w:after="0" w:line="240" w:lineRule="auto"/>
        <w:jc w:val="center"/>
        <w:rPr>
          <w:rFonts w:cs="Calibri"/>
          <w:szCs w:val="20"/>
        </w:rPr>
      </w:pPr>
    </w:p>
    <w:p>
      <w:pPr>
        <w:widowControl w:val="off"/>
        <w:spacing w:after="0" w:line="240" w:lineRule="auto"/>
        <w:ind w:firstLine="540"/>
        <w:jc w:val="both"/>
        <w:rPr>
          <w:rFonts w:cs="Calibri"/>
          <w:szCs w:val="20"/>
        </w:rPr>
      </w:pP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P553"/>
      <w:bookmarkEnd w:id="6"/>
      <w:r>
        <w:rPr>
          <w:rFonts w:ascii="Times New Roman" w:hAnsi="Times New Roman"/>
          <w:sz w:val="28"/>
          <w:szCs w:val="28"/>
        </w:rPr>
        <w:t xml:space="preserve">УВЕДОМЛЕНИЕ</w:t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 отказе в регистрации коллективного трудового спора и оказании содействия в его урегулировании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__________________________________________________________________</w:t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</w:t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</w:t>
      </w:r>
      <w:r>
        <w:rPr>
          <w:rFonts w:ascii="Times New Roman" w:hAnsi="Times New Roman"/>
          <w:sz w:val="20"/>
          <w:szCs w:val="20"/>
        </w:rPr>
        <w:t xml:space="preserve">полное</w:t>
      </w:r>
      <w:r>
        <w:rPr>
          <w:rFonts w:ascii="Times New Roman" w:hAnsi="Times New Roman"/>
          <w:sz w:val="20"/>
          <w:szCs w:val="20"/>
        </w:rPr>
        <w:t xml:space="preserve"> наименование организации, в которой произошел коллективный трудовой спор)</w:t>
      </w:r>
    </w:p>
    <w:p>
      <w:pPr>
        <w:widowControl w:val="o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нормами законодательства Российской Федерации и положениями порядка проведения уведомительной регистрации коллективных трудовых споров и оказании содействия их урегулированию на территории Новосибирской области, утвержденного приказом министерства труда и социального развития Новосибирской области от ____________ № _____, министерство труда и социального развития Новосибирской области приняло решение отказать в уведомительной регистрации и оказании содействия в урегулировании коллективного трудового спора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</w:t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</w:t>
      </w:r>
      <w:r>
        <w:rPr>
          <w:rFonts w:ascii="Times New Roman" w:hAnsi="Times New Roman"/>
          <w:sz w:val="20"/>
          <w:szCs w:val="20"/>
        </w:rPr>
        <w:t xml:space="preserve">полное</w:t>
      </w:r>
      <w:r>
        <w:rPr>
          <w:rFonts w:ascii="Times New Roman" w:hAnsi="Times New Roman"/>
          <w:sz w:val="20"/>
          <w:szCs w:val="20"/>
        </w:rPr>
        <w:t xml:space="preserve"> наименование организации, в которой произошел коллективный трудовой спор)</w:t>
      </w:r>
    </w:p>
    <w:p>
      <w:pPr>
        <w:widowControl w:val="o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следующим основаниям: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_____________________________________________________________________;</w:t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</w:t>
      </w:r>
      <w:r>
        <w:rPr>
          <w:rFonts w:ascii="Times New Roman" w:hAnsi="Times New Roman"/>
          <w:sz w:val="20"/>
          <w:szCs w:val="20"/>
        </w:rPr>
        <w:t xml:space="preserve">указать</w:t>
      </w:r>
      <w:r>
        <w:rPr>
          <w:rFonts w:ascii="Times New Roman" w:hAnsi="Times New Roman"/>
          <w:sz w:val="20"/>
          <w:szCs w:val="20"/>
        </w:rPr>
        <w:t xml:space="preserve"> основания из перечня пункта 11 порядка)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1756"/>
        <w:gridCol w:w="3209"/>
      </w:tblGrid>
      <w:tr>
        <w:tc>
          <w:tcPr>
            <w:tcW w:w="4955" w:type="dxa"/>
            <w:shd w:val="clear" w:color="auto" w:fill="auto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социального развития</w:t>
            </w:r>
          </w:p>
          <w:p>
            <w:pPr>
              <w:widowControl w:val="o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</w:p>
        </w:tc>
        <w:tc>
          <w:tcPr>
            <w:tcW w:w="1756" w:type="dxa"/>
            <w:shd w:val="clear" w:color="auto" w:fill="auto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</w:t>
            </w:r>
          </w:p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</w:p>
        </w:tc>
        <w:tc>
          <w:tcPr>
            <w:tcW w:w="3209" w:type="dxa"/>
            <w:shd w:val="clear" w:color="auto" w:fill="auto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(последнее - при наличии)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widowControl w:val="off"/>
        <w:tabs>
          <w:tab w:val="left" w:pos="1701"/>
        </w:tabs>
        <w:spacing w:after="0" w:line="240" w:lineRule="auto"/>
        <w:ind w:firstLine="5245"/>
        <w:jc w:val="center"/>
        <w:outlineLvl w:val="1"/>
        <w:rPr>
          <w:rFonts w:ascii="Times New Roman" w:hAnsi="Times New Roman"/>
          <w:sz w:val="24"/>
          <w:szCs w:val="24"/>
        </w:rPr>
        <w:sectPr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>
      <w:pPr>
        <w:widowControl w:val="off"/>
        <w:tabs>
          <w:tab w:val="left" w:pos="1701"/>
        </w:tabs>
        <w:spacing w:after="0" w:line="240" w:lineRule="auto"/>
        <w:ind w:firstLine="5245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4</w:t>
      </w:r>
    </w:p>
    <w:p>
      <w:pPr>
        <w:widowControl w:val="off"/>
        <w:tabs>
          <w:tab w:val="left" w:pos="1701"/>
        </w:tabs>
        <w:spacing w:after="0" w:line="240" w:lineRule="auto"/>
        <w:ind w:firstLine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порядку проведения уведомительной</w:t>
      </w:r>
    </w:p>
    <w:p>
      <w:pPr>
        <w:widowControl w:val="off"/>
        <w:tabs>
          <w:tab w:val="left" w:pos="1701"/>
        </w:tabs>
        <w:spacing w:after="0" w:line="240" w:lineRule="auto"/>
        <w:ind w:firstLine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регистрации</w:t>
      </w:r>
      <w:r>
        <w:rPr>
          <w:rFonts w:ascii="Times New Roman" w:hAnsi="Times New Roman"/>
          <w:sz w:val="24"/>
          <w:szCs w:val="24"/>
        </w:rPr>
        <w:t xml:space="preserve"> коллективных трудовых споров</w:t>
      </w:r>
    </w:p>
    <w:p>
      <w:pPr>
        <w:widowControl w:val="off"/>
        <w:tabs>
          <w:tab w:val="left" w:pos="1701"/>
        </w:tabs>
        <w:spacing w:after="0" w:line="240" w:lineRule="auto"/>
        <w:ind w:firstLine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оказания</w:t>
      </w:r>
      <w:r>
        <w:rPr>
          <w:rFonts w:ascii="Times New Roman" w:hAnsi="Times New Roman"/>
          <w:sz w:val="24"/>
          <w:szCs w:val="24"/>
        </w:rPr>
        <w:t xml:space="preserve"> содействия их урегулированию</w:t>
      </w:r>
    </w:p>
    <w:p>
      <w:pPr>
        <w:widowControl w:val="off"/>
        <w:tabs>
          <w:tab w:val="left" w:pos="1701"/>
        </w:tabs>
        <w:spacing w:after="0" w:line="240" w:lineRule="auto"/>
        <w:ind w:firstLine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территории Новосибирской области</w:t>
      </w:r>
    </w:p>
    <w:p>
      <w:pPr>
        <w:widowControl w:val="o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widowControl w:val="off"/>
        <w:spacing w:after="0" w:line="240" w:lineRule="auto"/>
        <w:jc w:val="right"/>
        <w:rPr>
          <w:rFonts w:cs="Calibri"/>
          <w:szCs w:val="20"/>
        </w:rPr>
      </w:pPr>
    </w:p>
    <w:p>
      <w:pPr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письма</w:t>
      </w:r>
    </w:p>
    <w:p>
      <w:pPr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труда </w:t>
      </w:r>
    </w:p>
    <w:p>
      <w:pPr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социального развития </w:t>
      </w:r>
    </w:p>
    <w:p>
      <w:pPr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уведомительной регистрации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оказании содействия урегулированию 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коллективного</w:t>
      </w:r>
      <w:r>
        <w:rPr>
          <w:rFonts w:ascii="Times New Roman" w:hAnsi="Times New Roman"/>
          <w:sz w:val="28"/>
          <w:szCs w:val="28"/>
        </w:rPr>
        <w:t xml:space="preserve"> трудового спора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провести уведомительную регистрацию и оказать содействие в урегулировании коллективного трудового спора, возникшего в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организационно</w:t>
      </w:r>
      <w:r>
        <w:rPr>
          <w:rFonts w:ascii="Times New Roman" w:hAnsi="Times New Roman"/>
          <w:sz w:val="24"/>
          <w:szCs w:val="24"/>
        </w:rPr>
        <w:t xml:space="preserve">-правовая форма и наименование организации)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Коллективный трудовой спор по поводу: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начала коллективного трудового спора _______________________________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 разрешения коллективного трудового спора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Требуется содействие в урегулировании коллективного трудового спора в следующих видах (нужное подчеркнуть):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разъяснения по вопросу урегулирования коллективного трудового спора;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помощь в подборе кандидатуры посредника;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помощь в создании трудового арбитража, определение его регламента и полномочий.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второй стороне коллективного трудового спора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</w:p>
    <w:p>
      <w:pPr>
        <w:widowControl w:val="o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наименование</w:t>
      </w:r>
      <w:r>
        <w:rPr>
          <w:rFonts w:ascii="Times New Roman" w:hAnsi="Times New Roman"/>
          <w:sz w:val="24"/>
          <w:szCs w:val="24"/>
        </w:rPr>
        <w:t xml:space="preserve">, правовой статус, почтовый адрес, контактные номера</w:t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телефонов</w:t>
      </w:r>
      <w:r>
        <w:rPr>
          <w:rFonts w:ascii="Times New Roman" w:hAnsi="Times New Roman"/>
          <w:sz w:val="24"/>
          <w:szCs w:val="24"/>
        </w:rPr>
        <w:t xml:space="preserve">, адрес электронной почты (последнее - при наличии), фамилия, имя,</w:t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отчество</w:t>
      </w:r>
      <w:r>
        <w:rPr>
          <w:rFonts w:ascii="Times New Roman" w:hAnsi="Times New Roman"/>
          <w:sz w:val="24"/>
          <w:szCs w:val="24"/>
        </w:rPr>
        <w:t xml:space="preserve"> (последнее при наличии) и должность представителя)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 правовой статус обратившейся стороны: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обратившейся стороны: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Почтовый адрес представителя (по которому должен быть направлен ответ):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 заявителя: ______________________________________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номера телефонов заявителя: __________________________________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Приложения: копия протокола собрания (конференции), копия письма о требованиях работников, направленного представителю работодателя, копия ответа работодателя на требования работников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6"/>
        <w:gridCol w:w="2775"/>
        <w:gridCol w:w="3290"/>
      </w:tblGrid>
      <w:tr>
        <w:tc>
          <w:tcPr>
            <w:tcW w:w="3823" w:type="dxa"/>
            <w:shd w:val="clear" w:color="auto" w:fill="auto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</w:t>
            </w:r>
          </w:p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</w:p>
        </w:tc>
        <w:tc>
          <w:tcPr>
            <w:tcW w:w="2783" w:type="dxa"/>
            <w:shd w:val="clear" w:color="auto" w:fill="auto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</w:t>
            </w:r>
          </w:p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</w:p>
        </w:tc>
        <w:tc>
          <w:tcPr>
            <w:tcW w:w="3304" w:type="dxa"/>
            <w:shd w:val="clear" w:color="auto" w:fill="auto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(последнее - при наличии)</w:t>
            </w:r>
          </w:p>
        </w:tc>
      </w:tr>
    </w:tbl>
    <w:p>
      <w:pPr>
        <w:widowControl w:val="o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(</w:t>
      </w:r>
      <w:r>
        <w:rPr>
          <w:rFonts w:ascii="Times New Roman" w:hAnsi="Times New Roman"/>
          <w:sz w:val="24"/>
          <w:szCs w:val="24"/>
        </w:rPr>
        <w:t xml:space="preserve">дата</w:t>
      </w:r>
      <w:r>
        <w:rPr>
          <w:rFonts w:ascii="Times New Roman" w:hAnsi="Times New Roman"/>
          <w:sz w:val="24"/>
          <w:szCs w:val="24"/>
        </w:rPr>
        <w:t xml:space="preserve">)</w:t>
      </w: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110310467"/>
      <w:docPartObj>
        <w:docPartGallery w:val="Page Numbers (Top of Page)"/>
        <w:docPartUnique w:val="true"/>
      </w:docPartObj>
    </w:sdtPr>
    <w:sdtContent>
      <w:p>
        <w:pPr>
          <w:pStyle w:val="af8"/>
          <w:jc w:val="center"/>
        </w:pPr>
      </w:p>
    </w:sdtContent>
  </w:sdt>
  <w:p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49608996"/>
      <w:docPartObj>
        <w:docPartGallery w:val="Page Numbers (Top of Page)"/>
        <w:docPartUnique w:val="true"/>
      </w:docPartObj>
    </w:sdtPr>
    <w:sdtContent>
      <w:p>
        <w:pPr>
          <w:pStyle w:val="af8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9</w:t>
        </w:r>
        <w:r>
          <w:rPr>
            <w:sz w:val="20"/>
          </w:rPr>
          <w:fldChar w:fldCharType="end"/>
        </w:r>
      </w:p>
    </w:sdtContent>
  </w:sdt>
  <w:p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28094238"/>
      <w:docPartObj>
        <w:docPartGallery w:val="Page Numbers (Top of Page)"/>
        <w:docPartUnique w:val="true"/>
      </w:docPartObj>
    </w:sdtPr>
    <w:sdtContent>
      <w:p>
        <w:pPr>
          <w:pStyle w:val="af8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7</w:t>
        </w:r>
        <w:r>
          <w:rPr>
            <w:sz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52958024"/>
      <w:docPartObj>
        <w:docPartGallery w:val="Page Numbers (Top of Page)"/>
        <w:docPartUnique w:val="true"/>
      </w:docPartObj>
    </w:sdtPr>
    <w:sdtContent>
      <w:p>
        <w:pPr>
          <w:pStyle w:val="af8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12</w:t>
        </w:r>
        <w:r>
          <w:rPr>
            <w:sz w:val="20"/>
          </w:rPr>
          <w:fldChar w:fldCharType="end"/>
        </w:r>
      </w:p>
    </w:sdtContent>
  </w:sdt>
  <w:p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styleId="a6" w:customStyle="1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styleId="ad" w:customStyle="1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styleId="af0" w:customStyle="1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5" w:customStyle="1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af7">
    <w:name w:val="Hyperlink"/>
    <w:basedOn w:val="a0"/>
    <w:uiPriority w:val="99"/>
    <w:rPr>
      <w:rFonts w:cs="Times New Roman"/>
      <w:color w:val="0000ff"/>
      <w:u w:val="single"/>
    </w:rPr>
  </w:style>
  <w:style w:type="paragraph" w:styleId="af8">
    <w:name w:val="head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styleId="af9" w:customStyle="1">
    <w:name w:val="Верхний колонтитул Знак"/>
    <w:basedOn w:val="a0"/>
    <w:link w:val="af8"/>
    <w:uiPriority w:val="99"/>
    <w:rPr>
      <w:rFonts w:ascii="Times New Roman" w:hAnsi="Times New Roman" w:cs="Times New Roman"/>
      <w:sz w:val="20"/>
      <w:szCs w:val="20"/>
    </w:rPr>
  </w:style>
  <w:style w:type="character" w:styleId="40" w:customStyle="1">
    <w:name w:val="Заголовок 4 Знак"/>
    <w:basedOn w:val="a0"/>
    <w:link w:val="4"/>
    <w:rPr>
      <w:rFonts w:ascii="Times New Roman" w:hAnsi="Times New Roman"/>
      <w:sz w:val="28"/>
      <w:szCs w:val="20"/>
    </w:rPr>
  </w:style>
  <w:style w:type="paragraph" w:styleId="afa">
    <w:name w:val="Body Text"/>
    <w:basedOn w:val="a"/>
    <w:link w:val="af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styleId="afb" w:customStyle="1">
    <w:name w:val="Основной текст Знак"/>
    <w:basedOn w:val="a0"/>
    <w:link w:val="afa"/>
    <w:rPr>
      <w:rFonts w:ascii="Times New Roman" w:hAnsi="Times New Roman"/>
      <w:sz w:val="28"/>
      <w:szCs w:val="20"/>
    </w:rPr>
  </w:style>
  <w:style w:type="paragraph" w:styleId="afc">
    <w:name w:val="footer"/>
    <w:basedOn w:val="a"/>
    <w:link w:val="afd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styleId="afd" w:customStyle="1">
    <w:name w:val="Нижний колонтитул Знак"/>
    <w:basedOn w:val="a0"/>
    <w:link w:val="afc"/>
    <w:uiPriority w:val="99"/>
    <w:rPr>
      <w:rFonts w:ascii="Times New Roman" w:hAnsi="Times New Roman"/>
      <w:sz w:val="28"/>
      <w:szCs w:val="20"/>
    </w:rPr>
  </w:style>
  <w:style w:type="character" w:styleId="20" w:customStyle="1">
    <w:name w:val="Заголовок 2 Знак"/>
    <w:basedOn w:val="a0"/>
    <w:link w:val="2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styleId="aff" w:customStyle="1">
    <w:name w:val="Основной текст с отступом Знак"/>
    <w:basedOn w:val="a0"/>
    <w:link w:val="afe"/>
    <w:uiPriority w:val="99"/>
    <w:rPr>
      <w:sz w:val="22"/>
      <w:szCs w:val="22"/>
    </w:rPr>
  </w:style>
  <w:style w:type="paragraph" w:styleId="ConsPlusNormal" w:customStyle="1">
    <w:name w:val="ConsPlusNormal"/>
    <w:pPr>
      <w:widowControl w:val="off"/>
    </w:pPr>
    <w:rPr>
      <w:rFonts w:cs="Calibri"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Relationship Id="rId14" Type="http://schemas.openxmlformats.org/officeDocument/2006/relationships/hyperlink" Target="consultantplus://offline/ref=4A0141B0AD61B34603705432D1725432EF9EF91CE5BED4450BD9DC50C6C191220C025B329B30813DE76F6Du3X4C" TargetMode="External"/><Relationship Id="rId15" Type="http://schemas.openxmlformats.org/officeDocument/2006/relationships/hyperlink" Target="consultantplus://offline/ref=D581A6E17B542977751FE02D49DBF2E80EC4FB29FEE4BED5346B60236A82160A26641E4679817E5CDE09B7AE34B9a5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DC0-63C4-4D2C-A391-CA08E79C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20372</Characters>
  <CharactersWithSpaces>23899</CharactersWithSpaces>
  <Company>dtsr</Company>
  <DocSecurity>0</DocSecurity>
  <HyperlinksChanged>false</HyperlinksChanged>
  <Lines>169</Lines>
  <LinksUpToDate>false</LinksUpToDate>
  <Pages>12</Pages>
  <Paragraphs>47</Paragraphs>
  <ScaleCrop>false</ScaleCrop>
  <SharedDoc>false</SharedDoc>
  <Template>Normal</Template>
  <TotalTime>0</TotalTime>
  <Words>3574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Измайлова Вероника Алексеевна</cp:lastModifiedBy>
  <cp:revision>3</cp:revision>
  <dcterms:created xsi:type="dcterms:W3CDTF">2024-06-26T04:11:00Z</dcterms:created>
  <dcterms:modified xsi:type="dcterms:W3CDTF">2024-06-26T04:38:00Z</dcterms:modified>
</cp:coreProperties>
</file>