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bookmarkStart w:id="0" w:name="_GoBack"/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 xml:space="preserve">ПРАВИТЕЛЬСТВО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</w:t>
      </w:r>
      <w:r>
        <w:t xml:space="preserve"> 14 октября 2022 г. N 1830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ПЕРЕЧНЕ</w:t>
      </w:r>
    </w:p>
    <w:p>
      <w:pPr>
        <w:pStyle w:val="ConsPlusTitle"/>
        <w:jc w:val="center"/>
      </w:pPr>
      <w:r>
        <w:t xml:space="preserve">РАБОЧИХ МЕСТ В ОРГАНИЗАЦИЯХ, ОСУЩЕСТВЛЯЮЩИХ ОТДЕЛЬНЫЕ ВИДЫ</w:t>
      </w:r>
    </w:p>
    <w:p>
      <w:pPr>
        <w:pStyle w:val="ConsPlusTitle"/>
        <w:jc w:val="center"/>
      </w:pPr>
      <w:r>
        <w:t xml:space="preserve">ДЕЯТЕЛЬНОСТИ, В ОТНОШЕНИИ КОТОРЫХ СПЕЦИАЛЬНАЯ ОЦЕНКА УСЛОВИЙ</w:t>
      </w:r>
    </w:p>
    <w:p>
      <w:pPr>
        <w:pStyle w:val="ConsPlusTitle"/>
        <w:jc w:val="center"/>
      </w:pPr>
      <w:r>
        <w:t xml:space="preserve">ТРУДА ПРОВОДИТСЯ С УЧЕТОМ УСТАНАВЛИВАЕМЫХ УПОЛНОМОЧЕННЫМ</w:t>
      </w:r>
    </w:p>
    <w:p>
      <w:pPr>
        <w:pStyle w:val="ConsPlusTitle"/>
        <w:jc w:val="center"/>
      </w:pPr>
      <w:r>
        <w:t xml:space="preserve">ФЕДЕРАЛЬНЫМ ОРГАНОМ ИСПОЛНИТЕЛЬНОЙ ВЛАСТИ ОСОБЕННОСТЕЙ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</w:t>
            </w:r>
            <w:r>
              <w:rPr>
                <w:color w:val="392c69"/>
              </w:rPr>
              <w:t xml:space="preserve">в</w:t>
            </w:r>
            <w:r>
              <w:rPr>
                <w:color w:val="392c69"/>
              </w:rPr>
              <w:t xml:space="preserve"> ред. </w:t>
            </w:r>
            <w:hyperlink r:id="rId7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Правительства РФ от 07.03.2023 N 358)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 xml:space="preserve">частью 7 статьи 9</w:t>
        </w:r>
      </w:hyperlink>
      <w:r>
        <w:t xml:space="preserve"> Федерального закона "О специальной оценке условий труда" Правительство Российской Федерации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 xml:space="preserve">перечень</w:t>
        </w:r>
      </w:hyperlink>
      <w:r>
        <w:t xml:space="preserve">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особенностей.</w:t>
      </w:r>
    </w:p>
    <w:p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по согласованию с заинтересованными федеральными органами исполнительной власти, Государственной корпорацией по атомной энергии "Росатом" и с учетом мнения Российской трехсторонней комиссии по регулированию социально-трудовых отношений до 30 ноября 2023 г. утвердить особенности проведения специальной оценки условий труда в отношении предусмотренных </w:t>
      </w:r>
      <w:hyperlink w:anchor="P39">
        <w:r>
          <w:rPr>
            <w:color w:val="0000ff"/>
          </w:rPr>
          <w:t xml:space="preserve">перечнем</w:t>
        </w:r>
      </w:hyperlink>
      <w:r>
        <w:t xml:space="preserve">, утвержденным настоящим постановлением, рабочих мест в организациях, осуществляющих отдельные виды деятельности.</w:t>
      </w:r>
    </w:p>
    <w:p>
      <w:pPr>
        <w:pStyle w:val="ConsPlusNormal"/>
        <w:spacing w:before="220"/>
        <w:ind w:firstLine="540"/>
        <w:jc w:val="both"/>
      </w:pPr>
      <w:r>
        <w:t xml:space="preserve">3. Признать утратившими силу:</w:t>
      </w:r>
    </w:p>
    <w:p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14 апреля 2014 г. N 290 "Об утверждении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2014, N 17, ст. 2056);</w:t>
      </w:r>
    </w:p>
    <w:p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25 апреля 2015 г. N 396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2015, N 18, ст. 2715);</w:t>
      </w:r>
    </w:p>
    <w:p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14 декабря 2016 г. N 1351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2016, N 51, ст. 7402);</w:t>
      </w:r>
    </w:p>
    <w:p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24 января 2018 г. N 52 "О внесении </w:t>
      </w:r>
      <w:r>
        <w:t xml:space="preserve">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2018, N 5, ст. 765);</w:t>
      </w:r>
    </w:p>
    <w:p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20 февраля 2021 г. N 238 "О внесении 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2021, N 9, ст. 1505).</w:t>
      </w:r>
    </w:p>
    <w:p>
      <w:pPr>
        <w:pStyle w:val="ConsPlusNormal"/>
        <w:spacing w:before="220"/>
        <w:ind w:firstLine="540"/>
        <w:jc w:val="both"/>
      </w:pPr>
      <w:r>
        <w:t xml:space="preserve">4. </w:t>
      </w:r>
      <w:hyperlink r:id="rId14">
        <w:r>
          <w:rPr>
            <w:color w:val="0000ff"/>
          </w:rPr>
          <w:t xml:space="preserve">Пункт 887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с 1 марта 2023 г. и действует до 1 марта 2029 г.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Председатель Правительства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М.МИШУСТИН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</w:t>
      </w:r>
    </w:p>
    <w:p>
      <w:pPr>
        <w:pStyle w:val="ConsPlusNormal"/>
        <w:jc w:val="right"/>
      </w:pPr>
      <w:r>
        <w:t xml:space="preserve">постановлением</w:t>
      </w:r>
      <w:r>
        <w:t xml:space="preserve"> Правительства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от</w:t>
      </w:r>
      <w:r>
        <w:t xml:space="preserve"> 14 октября 2022 г. N 1830</w:t>
      </w:r>
    </w:p>
    <w:p>
      <w:pPr>
        <w:pStyle w:val="ConsPlusNormal"/>
        <w:jc w:val="center"/>
      </w:pPr>
    </w:p>
    <w:p>
      <w:pPr>
        <w:pStyle w:val="ConsPlusTitle"/>
        <w:jc w:val="center"/>
      </w:pPr>
      <w:bookmarkStart w:id="1" w:name="P39"/>
      <w:bookmarkEnd w:id="1"/>
      <w:r>
        <w:t xml:space="preserve">ПЕРЕЧЕНЬ</w:t>
      </w:r>
    </w:p>
    <w:p>
      <w:pPr>
        <w:pStyle w:val="ConsPlusTitle"/>
        <w:jc w:val="center"/>
      </w:pPr>
      <w:r>
        <w:t xml:space="preserve">РАБОЧИХ МЕСТ В ОРГАНИЗАЦИЯХ, ОСУЩЕСТВЛЯЮЩИХ ОТДЕЛЬНЫЕ ВИДЫ</w:t>
      </w:r>
    </w:p>
    <w:p>
      <w:pPr>
        <w:pStyle w:val="ConsPlusTitle"/>
        <w:jc w:val="center"/>
      </w:pPr>
      <w:r>
        <w:t xml:space="preserve">ДЕЯТЕЛЬНОСТИ, В ОТНОШЕНИИ КОТОРЫХ СПЕЦИАЛЬНАЯ ОЦЕНКА УСЛОВИЙ</w:t>
      </w:r>
    </w:p>
    <w:p>
      <w:pPr>
        <w:pStyle w:val="ConsPlusTitle"/>
        <w:jc w:val="center"/>
      </w:pPr>
      <w:r>
        <w:t xml:space="preserve">ТРУДА ПРОВОДИТСЯ С УЧЕТОМ УСТАНАВЛИВАЕМЫХ УПОЛНОМОЧЕННЫМ</w:t>
      </w:r>
    </w:p>
    <w:p>
      <w:pPr>
        <w:pStyle w:val="ConsPlusTitle"/>
        <w:jc w:val="center"/>
      </w:pPr>
      <w:r>
        <w:t xml:space="preserve">ФЕДЕРАЛЬНЫМ ОРГАНОМ ИСПОЛНИТЕЛЬНОЙ ВЛАСТИ ОСОБЕННОСТЕЙ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</w:t>
            </w:r>
            <w:r>
              <w:rPr>
                <w:color w:val="392c69"/>
              </w:rPr>
              <w:t xml:space="preserve">в</w:t>
            </w:r>
            <w:r>
              <w:rPr>
                <w:color w:val="392c69"/>
              </w:rPr>
              <w:t xml:space="preserve"> ред. </w:t>
            </w:r>
            <w:hyperlink r:id="rId15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Правительства РФ от 07.03.2023 N 358)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1. Рабочие места членов экипажей морских судов, судов внутреннего плавания и рыбопромысловых судов.</w:t>
      </w:r>
    </w:p>
    <w:p>
      <w:pPr>
        <w:pStyle w:val="ConsPlusNormal"/>
        <w:spacing w:before="220"/>
        <w:ind w:firstLine="540"/>
        <w:jc w:val="both"/>
      </w:pPr>
      <w:r>
        <w:t xml:space="preserve">2. Рабочие места членов летных и кабинных экипажей воздушных судов гражданской авиации.</w:t>
      </w:r>
    </w:p>
    <w:p>
      <w:pPr>
        <w:pStyle w:val="ConsPlusNormal"/>
        <w:spacing w:before="220"/>
        <w:ind w:firstLine="540"/>
        <w:jc w:val="both"/>
      </w:pPr>
      <w:r>
        <w:t xml:space="preserve">3. 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эвакуации.</w:t>
      </w:r>
    </w:p>
    <w:p>
      <w:pPr>
        <w:pStyle w:val="ConsPlusNormal"/>
        <w:spacing w:before="220"/>
        <w:ind w:firstLine="540"/>
        <w:jc w:val="both"/>
      </w:pPr>
      <w:r>
        <w:t xml:space="preserve">4. 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операционные).</w:t>
      </w:r>
    </w:p>
    <w:p>
      <w:pPr>
        <w:pStyle w:val="ConsPlusNormal"/>
        <w:spacing w:before="220"/>
        <w:ind w:firstLine="540"/>
        <w:jc w:val="both"/>
      </w:pPr>
      <w:r>
        <w:t xml:space="preserve">5. 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утверждается Минтрудом России по согласованию с Минздравом России и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труда.</w:t>
      </w:r>
    </w:p>
    <w:p>
      <w:pPr>
        <w:pStyle w:val="ConsPlusNormal"/>
        <w:spacing w:before="220"/>
        <w:ind w:firstLine="540"/>
        <w:jc w:val="both"/>
      </w:pPr>
      <w:r>
        <w:t xml:space="preserve">6. Рабочие места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спорта.</w:t>
      </w:r>
    </w:p>
    <w:p>
      <w:pPr>
        <w:pStyle w:val="ConsPlusNormal"/>
        <w:spacing w:before="220"/>
        <w:ind w:firstLine="540"/>
        <w:jc w:val="both"/>
      </w:pPr>
      <w:r>
        <w:t xml:space="preserve">7. Рабочие места работников, </w:t>
      </w:r>
      <w:hyperlink r:id="rId16">
        <w:r>
          <w:rPr>
            <w:color w:val="0000ff"/>
          </w:rPr>
          <w:t xml:space="preserve">перечень</w:t>
        </w:r>
      </w:hyperlink>
      <w:r>
        <w:t xml:space="preserve">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Федерации".</w:t>
      </w:r>
    </w:p>
    <w:p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8. Рабочие места работников радиационно опасных и ядерно опасных производств и объектов, занятых на работах с техногенными источниками ионизирующих излучений.</w:t>
      </w:r>
    </w:p>
    <w:p>
      <w:pPr>
        <w:pStyle w:val="ConsPlusNormal"/>
        <w:spacing w:before="220"/>
        <w:ind w:firstLine="540"/>
        <w:jc w:val="both"/>
      </w:pPr>
      <w:r>
        <w:t xml:space="preserve">9. Рабочие места водолазов, а также работников, непосредственно осуществляющих кессонные работы.</w:t>
      </w:r>
    </w:p>
    <w:p>
      <w:pPr>
        <w:pStyle w:val="ConsPlusNormal"/>
        <w:spacing w:before="220"/>
        <w:ind w:firstLine="540"/>
        <w:jc w:val="both"/>
      </w:pPr>
      <w:r>
        <w:t xml:space="preserve">10. Рабочие места, на которых предусматривается пребывание работников в условиях повышенного давления газовой и воздушной среды.</w:t>
      </w:r>
    </w:p>
    <w:p>
      <w:pPr>
        <w:pStyle w:val="ConsPlusNormal"/>
        <w:spacing w:before="220"/>
        <w:ind w:firstLine="540"/>
        <w:jc w:val="both"/>
      </w:pPr>
      <w:r>
        <w:t xml:space="preserve">11. Рабочие места работников, занятых на подземных работах.</w:t>
      </w:r>
    </w:p>
    <w:p>
      <w:pPr>
        <w:pStyle w:val="ConsPlusNormal"/>
        <w:spacing w:before="220"/>
        <w:ind w:firstLine="540"/>
        <w:jc w:val="both"/>
      </w:pPr>
      <w:r>
        <w:t xml:space="preserve">12. Рабочие места водителей городского наземного пассажирского транспорта общего пользования.</w:t>
      </w:r>
    </w:p>
    <w:p>
      <w:pPr>
        <w:pStyle w:val="ConsPlusNormal"/>
        <w:spacing w:before="220"/>
        <w:ind w:firstLine="540"/>
        <w:jc w:val="both"/>
      </w:pPr>
      <w:r>
        <w:t xml:space="preserve">13. Рабочие места медицинских работников, непосредственно оказывающих психиатрическую и иную медицинскую помощь лицам с психическими расстройствами и расстройствами поведения, а также медицинских и иных работников, непосредственно обслуживающих больных с психическими расстройствами и расстройствами поведения: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психиатрических, психоневрологических, нейрохирургических, наркологических лечебно-профилактических медицинских организациях, структурных подразделениях (в том числе в отделениях, кабинетах, лечебно-производственных (трудовых) мастерских) иных лечебно-</w:t>
      </w:r>
      <w:r>
        <w:t xml:space="preserve">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>
      <w:pPr>
        <w:pStyle w:val="ConsPlusNormal"/>
        <w:spacing w:before="220"/>
        <w:ind w:firstLine="540"/>
        <w:jc w:val="both"/>
      </w:pPr>
      <w:r>
        <w:t xml:space="preserve">в детских психиатрических, психоневрологических лечебно-профилактических медицинских организациях, в том числе в домах ребенка для детей 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психиатрическую помощь, кроме 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бюро медико-социальной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расстройствами).</w:t>
      </w:r>
    </w:p>
    <w:p>
      <w:pPr>
        <w:pStyle w:val="ConsPlusNormal"/>
        <w:spacing w:before="220"/>
        <w:ind w:firstLine="540"/>
        <w:jc w:val="both"/>
      </w:pPr>
      <w:r>
        <w:t xml:space="preserve">14. Рабочие места работников, на которых непосредственно осуществляются разработка, изготовление, переработка, испытание, утилизация, межоперационное хранение взрывчатых веществ, инициирующих составов и продуктов, транспортирование (транспортировка), уничтожение боеприпасов и взрывчатых веществ, пиротехнических составов, порохов, ракетных топлив, средств инициирования и изделий на их основе, следующих допущенных в установленном законодательством Российской Федерации порядке к осуществлению (проведению) указанных видов деятельности (работ) организаций:</w:t>
      </w:r>
    </w:p>
    <w:p>
      <w:pPr>
        <w:pStyle w:val="ConsPlusNormal"/>
        <w:spacing w:before="220"/>
        <w:ind w:firstLine="540"/>
        <w:jc w:val="both"/>
      </w:pPr>
      <w:r>
        <w:t xml:space="preserve">организации</w:t>
      </w:r>
      <w:r>
        <w:t xml:space="preserve">, эксплуатирующие радиационно опасные и ядерно опасные производства (объекты), за исключением рабочих мест, предусмотренных </w:t>
      </w:r>
      <w:hyperlink w:anchor="P54">
        <w:r>
          <w:rPr>
            <w:color w:val="0000ff"/>
          </w:rPr>
          <w:t xml:space="preserve">пунктом 8</w:t>
        </w:r>
      </w:hyperlink>
      <w:r>
        <w:t xml:space="preserve"> настоящего перечня;</w:t>
      </w:r>
    </w:p>
    <w:p>
      <w:pPr>
        <w:pStyle w:val="ConsPlusNormal"/>
        <w:spacing w:before="220"/>
        <w:ind w:firstLine="540"/>
        <w:jc w:val="both"/>
      </w:pPr>
      <w:r>
        <w:t xml:space="preserve">организации</w:t>
      </w:r>
      <w:r>
        <w:t xml:space="preserve"> промышленности боеприпасов и спецхимии.</w:t>
      </w:r>
    </w:p>
    <w:p>
      <w:pPr>
        <w:pStyle w:val="ConsPlusNormal"/>
        <w:spacing w:before="220"/>
        <w:ind w:firstLine="540"/>
        <w:jc w:val="both"/>
      </w:pPr>
      <w:r>
        <w:t xml:space="preserve">15. Рабочие места 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помощи: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кабинетах паллиативной медицинской помощи взрослым;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отделениях выездной патронажной паллиативной медицинской помощи взрослым;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отделениях паллиативной медицинской помощи взрослым;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дневных стационарах паллиативной медицинской помощи взрослым;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хосписах для взрослых;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домах (больницах) сестринского ухода для взрослых;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отделениях сестринского ухода для взрослых;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респираторных центрах для взрослых;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отделениях выездной патронажной паллиативной медицинской помощи детям, в том числе проживающим в стационарных организациях социального обслуживания;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отделениях (на койках) паллиативной медицинской помощи детям, в том числе проживающим в стационарных организациях социального обслуживания;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дневных стационарах паллиативной медицинской помощи детям;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 хосписах для детей.</w:t>
      </w:r>
    </w:p>
    <w:p>
      <w:pPr>
        <w:pStyle w:val="ConsPlusNormal"/>
        <w:spacing w:before="220"/>
        <w:ind w:firstLine="540"/>
        <w:jc w:val="both"/>
      </w:pPr>
      <w:r>
        <w:t xml:space="preserve">16. Рабочие места в организациях - субъектах малого предпринимательства (включая работодателей - индивидуальных предпринимателей), которые в соответствии с федеральным законом отнесены к микропредприятиям, осуществляющих в качестве основного один из следующих видов деятельности, включенных в Общероссийский </w:t>
      </w:r>
      <w:hyperlink r:id="rId17">
        <w:r>
          <w:rPr>
            <w:color w:val="0000ff"/>
          </w:rPr>
          <w:t xml:space="preserve">классификатор</w:t>
        </w:r>
      </w:hyperlink>
      <w:r>
        <w:t xml:space="preserve"> видов экономической деятельности (ОКВЭД2) ОК 029-2014 (КДЕС Ред. 2):</w:t>
      </w:r>
    </w:p>
    <w:p>
      <w:pPr>
        <w:pStyle w:val="ConsPlusNormal"/>
        <w:spacing w:before="220"/>
        <w:ind w:firstLine="540"/>
        <w:jc w:val="both"/>
      </w:pPr>
      <w:r>
        <w:t xml:space="preserve">разработка</w:t>
      </w:r>
      <w:r>
        <w:t xml:space="preserve"> компьютерного программного обеспечения, консультационные услуги в данной области и другие сопутствующие услуги (</w:t>
      </w:r>
      <w:hyperlink r:id="rId18">
        <w:r>
          <w:rPr>
            <w:color w:val="0000ff"/>
          </w:rPr>
          <w:t xml:space="preserve">класс 62</w:t>
        </w:r>
      </w:hyperlink>
      <w:r>
        <w:t xml:space="preserve"> раздела J);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в области информационных технологий (</w:t>
      </w:r>
      <w:hyperlink r:id="rId19">
        <w:r>
          <w:rPr>
            <w:color w:val="0000ff"/>
          </w:rPr>
          <w:t xml:space="preserve">класс 63</w:t>
        </w:r>
      </w:hyperlink>
      <w:r>
        <w:t xml:space="preserve"> раздела J);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финансовая и страховая </w:t>
      </w:r>
      <w:hyperlink r:id="rId20">
        <w:r>
          <w:rPr>
            <w:color w:val="0000ff"/>
          </w:rPr>
          <w:t xml:space="preserve">(раздел K)</w:t>
        </w:r>
      </w:hyperlink>
      <w:r>
        <w:t xml:space="preserve">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по операциям с недвижимом имуществом </w:t>
      </w:r>
      <w:hyperlink r:id="rId21">
        <w:r>
          <w:rPr>
            <w:color w:val="0000ff"/>
          </w:rPr>
          <w:t xml:space="preserve">(раздел L)</w:t>
        </w:r>
      </w:hyperlink>
      <w:r>
        <w:t xml:space="preserve">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в области права и бухгалтерского учета (</w:t>
      </w:r>
      <w:hyperlink r:id="rId22">
        <w:r>
          <w:rPr>
            <w:color w:val="0000ff"/>
          </w:rPr>
          <w:t xml:space="preserve">класс 69</w:t>
        </w:r>
      </w:hyperlink>
      <w:r>
        <w:t xml:space="preserve"> раздела M);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головных офисов; консультирование по вопросам управления (</w:t>
      </w:r>
      <w:hyperlink r:id="rId23">
        <w:r>
          <w:rPr>
            <w:color w:val="0000ff"/>
          </w:rPr>
          <w:t xml:space="preserve">класс 70</w:t>
        </w:r>
      </w:hyperlink>
      <w:r>
        <w:t xml:space="preserve"> раздела M);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в области архитектуры и инженерно-технического проектирования; технических испытаний, исследований и анализа (</w:t>
      </w:r>
      <w:hyperlink r:id="rId24">
        <w:r>
          <w:rPr>
            <w:color w:val="0000ff"/>
          </w:rPr>
          <w:t xml:space="preserve">класс 71</w:t>
        </w:r>
      </w:hyperlink>
      <w:r>
        <w:t xml:space="preserve"> раздела M);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рекламная и исследование конъюнктуры рынка (</w:t>
      </w:r>
      <w:hyperlink r:id="rId25">
        <w:r>
          <w:rPr>
            <w:color w:val="0000ff"/>
          </w:rPr>
          <w:t xml:space="preserve">класс 73</w:t>
        </w:r>
      </w:hyperlink>
      <w:r>
        <w:t xml:space="preserve"> раздела M);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административная и сопутствующие дополнительные услуги </w:t>
      </w:r>
      <w:hyperlink r:id="rId26">
        <w:r>
          <w:rPr>
            <w:color w:val="0000ff"/>
          </w:rPr>
          <w:t xml:space="preserve">(раздел N)</w:t>
        </w:r>
      </w:hyperlink>
      <w:r>
        <w:t xml:space="preserve">;</w:t>
      </w:r>
    </w:p>
    <w:p>
      <w:pPr>
        <w:pStyle w:val="ConsPlusNormal"/>
        <w:spacing w:before="220"/>
        <w:ind w:firstLine="540"/>
        <w:jc w:val="both"/>
      </w:pPr>
      <w:r>
        <w:t xml:space="preserve">образование</w:t>
      </w:r>
      <w:r>
        <w:t xml:space="preserve"> </w:t>
      </w:r>
      <w:hyperlink r:id="rId27">
        <w:r>
          <w:rPr>
            <w:color w:val="0000ff"/>
          </w:rPr>
          <w:t xml:space="preserve">(раздел P)</w:t>
        </w:r>
      </w:hyperlink>
      <w:r>
        <w:t xml:space="preserve">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библиотек, архивов, музеев и прочих объектов культуры (</w:t>
      </w:r>
      <w:hyperlink r:id="rId28">
        <w:r>
          <w:rPr>
            <w:color w:val="0000ff"/>
          </w:rPr>
          <w:t xml:space="preserve">класс 91</w:t>
        </w:r>
      </w:hyperlink>
      <w:r>
        <w:t xml:space="preserve"> раздела R);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</w:t>
      </w:r>
      <w:r>
        <w:t xml:space="preserve"> общественных организаций (</w:t>
      </w:r>
      <w:hyperlink r:id="rId29">
        <w:r>
          <w:rPr>
            <w:color w:val="0000ff"/>
          </w:rPr>
          <w:t xml:space="preserve">класс 94</w:t>
        </w:r>
      </w:hyperlink>
      <w:r>
        <w:t xml:space="preserve"> раздела S).</w:t>
      </w:r>
    </w:p>
    <w:p>
      <w:pPr>
        <w:pStyle w:val="ConsPlusNormal"/>
        <w:spacing w:before="220"/>
        <w:ind w:firstLine="540"/>
        <w:jc w:val="both"/>
      </w:pPr>
      <w:r>
        <w:t xml:space="preserve">17. Рабочие места работников учреждений уголовно-исполнительной системы Российской Федерации, постоянно и непосредственно занятых на работах с осужденными.</w:t>
      </w:r>
    </w:p>
    <w:p>
      <w:pPr>
        <w:pStyle w:val="ConsPlusNormal"/>
        <w:jc w:val="both"/>
      </w:pPr>
      <w:r>
        <w:t xml:space="preserve">(</w:t>
      </w:r>
      <w:r>
        <w:t xml:space="preserve">п.</w:t>
      </w:r>
      <w:r>
        <w:t xml:space="preserve"> 17 введен </w:t>
      </w:r>
      <w:hyperlink r:id="rId30">
        <w:r>
          <w:rPr>
            <w:color w:val="0000ff"/>
          </w:rPr>
          <w:t xml:space="preserve">Постановлением</w:t>
        </w:r>
      </w:hyperlink>
      <w:r>
        <w:t xml:space="preserve"> Правительства РФ от 07.03.2023 N 358)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bookmarkEnd w:id="0"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LAW&amp;n=441626&amp;dst=100005" TargetMode="External"/><Relationship Id="rId8" Type="http://schemas.openxmlformats.org/officeDocument/2006/relationships/hyperlink" Target="https://login.consultant.ru/link/?req=doc&amp;base=LAW&amp;n=452984&amp;dst=100323" TargetMode="External"/><Relationship Id="rId9" Type="http://schemas.openxmlformats.org/officeDocument/2006/relationships/hyperlink" Target="https://login.consultant.ru/link/?req=doc&amp;base=LAW&amp;n=377676" TargetMode="External"/><Relationship Id="rId10" Type="http://schemas.openxmlformats.org/officeDocument/2006/relationships/hyperlink" Target="https://login.consultant.ru/link/?req=doc&amp;base=LAW&amp;n=178732" TargetMode="External"/><Relationship Id="rId11" Type="http://schemas.openxmlformats.org/officeDocument/2006/relationships/hyperlink" Target="https://login.consultant.ru/link/?req=doc&amp;base=LAW&amp;n=208851" TargetMode="External"/><Relationship Id="rId12" Type="http://schemas.openxmlformats.org/officeDocument/2006/relationships/hyperlink" Target="https://login.consultant.ru/link/?req=doc&amp;base=LAW&amp;n=288928" TargetMode="External"/><Relationship Id="rId13" Type="http://schemas.openxmlformats.org/officeDocument/2006/relationships/hyperlink" Target="https://login.consultant.ru/link/?req=doc&amp;base=LAW&amp;n=377622" TargetMode="External"/><Relationship Id="rId14" Type="http://schemas.openxmlformats.org/officeDocument/2006/relationships/hyperlink" Target="https://login.consultant.ru/link/?req=doc&amp;base=LAW&amp;n=432515&amp;dst=101052" TargetMode="External"/><Relationship Id="rId15" Type="http://schemas.openxmlformats.org/officeDocument/2006/relationships/hyperlink" Target="https://login.consultant.ru/link/?req=doc&amp;base=LAW&amp;n=441626&amp;dst=100005" TargetMode="External"/><Relationship Id="rId16" Type="http://schemas.openxmlformats.org/officeDocument/2006/relationships/hyperlink" Target="https://login.consultant.ru/link/?req=doc&amp;base=LAW&amp;n=68004&amp;dst=100008" TargetMode="External"/><Relationship Id="rId17" Type="http://schemas.openxmlformats.org/officeDocument/2006/relationships/hyperlink" Target="https://login.consultant.ru/link/?req=doc&amp;base=LAW&amp;n=462157" TargetMode="External"/><Relationship Id="rId18" Type="http://schemas.openxmlformats.org/officeDocument/2006/relationships/hyperlink" Target="https://login.consultant.ru/link/?req=doc&amp;base=LAW&amp;n=462157&amp;dst=104493" TargetMode="External"/><Relationship Id="rId19" Type="http://schemas.openxmlformats.org/officeDocument/2006/relationships/hyperlink" Target="https://login.consultant.ru/link/?req=doc&amp;base=LAW&amp;n=462157&amp;dst=104526" TargetMode="External"/><Relationship Id="rId20" Type="http://schemas.openxmlformats.org/officeDocument/2006/relationships/hyperlink" Target="https://login.consultant.ru/link/?req=doc&amp;base=LAW&amp;n=462157&amp;dst=104555" TargetMode="External"/><Relationship Id="rId21" Type="http://schemas.openxmlformats.org/officeDocument/2006/relationships/hyperlink" Target="https://login.consultant.ru/link/?req=doc&amp;base=LAW&amp;n=462157&amp;dst=104721" TargetMode="External"/><Relationship Id="rId22" Type="http://schemas.openxmlformats.org/officeDocument/2006/relationships/hyperlink" Target="https://login.consultant.ru/link/?req=doc&amp;base=LAW&amp;n=462157&amp;dst=104794" TargetMode="External"/><Relationship Id="rId23" Type="http://schemas.openxmlformats.org/officeDocument/2006/relationships/hyperlink" Target="https://login.consultant.ru/link/?req=doc&amp;base=LAW&amp;n=462157&amp;dst=104811" TargetMode="External"/><Relationship Id="rId24" Type="http://schemas.openxmlformats.org/officeDocument/2006/relationships/hyperlink" Target="https://login.consultant.ru/link/?req=doc&amp;base=LAW&amp;n=462157&amp;dst=104828" TargetMode="External"/><Relationship Id="rId25" Type="http://schemas.openxmlformats.org/officeDocument/2006/relationships/hyperlink" Target="https://login.consultant.ru/link/?req=doc&amp;base=LAW&amp;n=462157&amp;dst=104948" TargetMode="External"/><Relationship Id="rId26" Type="http://schemas.openxmlformats.org/officeDocument/2006/relationships/hyperlink" Target="https://login.consultant.ru/link/?req=doc&amp;base=LAW&amp;n=462157&amp;dst=105027" TargetMode="External"/><Relationship Id="rId27" Type="http://schemas.openxmlformats.org/officeDocument/2006/relationships/hyperlink" Target="https://login.consultant.ru/link/?req=doc&amp;base=LAW&amp;n=462157&amp;dst=105326" TargetMode="External"/><Relationship Id="rId28" Type="http://schemas.openxmlformats.org/officeDocument/2006/relationships/hyperlink" Target="https://login.consultant.ru/link/?req=doc&amp;base=LAW&amp;n=462157&amp;dst=105463" TargetMode="External"/><Relationship Id="rId29" Type="http://schemas.openxmlformats.org/officeDocument/2006/relationships/hyperlink" Target="https://login.consultant.ru/link/?req=doc&amp;base=LAW&amp;n=462157&amp;dst=105534" TargetMode="External"/><Relationship Id="rId30" Type="http://schemas.openxmlformats.org/officeDocument/2006/relationships/hyperlink" Target="https://login.consultant.ru/link/?req=doc&amp;base=LAW&amp;n=441626&amp;dst=10000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13465</Characters>
  <CharactersWithSpaces>15796</CharactersWithSpaces>
  <Company/>
  <DocSecurity>0</DocSecurity>
  <HyperlinksChanged>false</HyperlinksChanged>
  <Lines>112</Lines>
  <LinksUpToDate>false</LinksUpToDate>
  <Pages>5</Pages>
  <Paragraphs>31</Paragraphs>
  <ScaleCrop>false</ScaleCrop>
  <SharedDoc>false</SharedDoc>
  <Template>Normal</Template>
  <TotalTime>1</TotalTime>
  <Words>2362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Наталья Леонидовна</dc:creator>
  <cp:keywords/>
  <dc:description/>
  <cp:lastModifiedBy>Патрушева Наталья Леонидовна</cp:lastModifiedBy>
  <cp:revision>1</cp:revision>
  <dcterms:created xsi:type="dcterms:W3CDTF">2024-02-12T08:55:00Z</dcterms:created>
  <dcterms:modified xsi:type="dcterms:W3CDTF">2024-02-12T08:56:00Z</dcterms:modified>
</cp:coreProperties>
</file>