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 w:color="000000"/>
        <w:rPr>
          <w:b/>
          <w:bCs/>
          <w:color w:val="000000" w:themeColor="text1"/>
        </w:rPr>
      </w:pPr>
      <w:r>
        <w:rPr>
          <w:b/>
          <w:color w:val="000000" w:themeColor="text1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59" behindDoc="0" locked="0" layoutInCell="1" allowOverlap="1">
                <wp:simplePos x="0" y="0"/>
                <wp:positionH relativeFrom="column">
                  <wp:posOffset>720770</wp:posOffset>
                </wp:positionH>
                <wp:positionV relativeFrom="paragraph">
                  <wp:posOffset>-957390</wp:posOffset>
                </wp:positionV>
                <wp:extent cx="6115050" cy="11029950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115050" cy="1102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59;o:allowoverlap:true;o:allowincell:true;mso-position-horizontal-relative:text;margin-left:56.75pt;mso-position-horizontal:absolute;mso-position-vertical-relative:text;margin-top:-75.39pt;mso-position-vertical:absolute;width:481.50pt;height:868.50pt;mso-wrap-distance-left:9.07pt;mso-wrap-distance-top:0.00pt;mso-wrap-distance-right:9.07pt;mso-wrap-distance-bottom:0.00pt;visibility:visible;" fillcolor="#4F81BD" strokecolor="#27405E" strokeweight="2.00pt">
                <v:stroke dashstyle="solid"/>
              </v:shape>
            </w:pict>
          </mc:Fallback>
        </mc:AlternateContent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</w:p>
    <w:p>
      <w:pPr>
        <w:shd w:val="nil" w:color="000000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</w:p>
    <w:p>
      <w:pPr>
        <w:shd w:val="nil" w:color="000000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873170</wp:posOffset>
                </wp:positionH>
                <wp:positionV relativeFrom="paragraph">
                  <wp:posOffset>244236</wp:posOffset>
                </wp:positionV>
                <wp:extent cx="4914900" cy="6194512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914899" cy="6194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Министерство труда и социального развития Новосибирской области Управление труда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none"/>
                              </w:rPr>
                              <w:t xml:space="preserve">Управление труда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Информация о пострадавших в несчастных случаях на производстве в организациях Новосибирской области</w:t>
                              <w:br/>
                              <w:t xml:space="preserve"> за I полугодие 2024 года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0240;o:allowoverlap:true;o:allowincell:true;mso-position-horizontal-relative:text;margin-left:68.75pt;mso-position-horizontal:absolute;mso-position-vertical-relative:text;margin-top:19.23pt;mso-position-vertical:absolute;width:387.00pt;height:487.76pt;mso-wrap-distance-left:9.07pt;mso-wrap-distance-top:0.00pt;mso-wrap-distance-right:9.07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Министерство труда и социального развития Новосибирской области Управление труда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none"/>
                        </w:rPr>
                        <w:t xml:space="preserve">Управление труда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Информация о пострадавших в несчастных случаях на производстве в организациях Новосибирской области</w:t>
                        <w:br/>
                        <w:t xml:space="preserve"> за I полугодие 2024 года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</w:p>
    <w:p>
      <w:pPr>
        <w:shd w:val="nil" w:color="000000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</w:p>
    <w:p>
      <w:pPr>
        <w:shd w:val="nil" w:color="000000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</w:p>
    <w:p>
      <w:pPr>
        <w:shd w:val="nil"/>
        <w:jc w:val="center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  <w:br w:type="page" w:clear="all"/>
      </w:r>
      <w:r>
        <w:rPr>
          <w:b/>
          <w:color w:val="000000" w:themeColor="text1"/>
          <w:highlight w:val="none"/>
        </w:rPr>
      </w:r>
    </w:p>
    <w:p>
      <w:pPr>
        <w:pStyle w:val="854"/>
        <w:spacing w:line="240" w:lineRule="auto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</w:rPr>
        <w:t xml:space="preserve">Информация о пострадавших в Новосибирской области с тяжелыми последствиями и со смертельным исходом на производстве </w:t>
      </w:r>
      <w:r>
        <w:rPr>
          <w:b/>
          <w:color w:val="000000" w:themeColor="text1"/>
        </w:rPr>
      </w:r>
      <w:r>
        <w:rPr>
          <w:b/>
          <w:bCs/>
          <w:color w:val="000000" w:themeColor="text1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данным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Гострудинспекции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Новосибирской области,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 полному кругу организаций с учетом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микропредприятий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979" w:type="dxa"/>
        <w:jc w:val="center"/>
        <w:tblInd w:w="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1717"/>
        <w:gridCol w:w="1685"/>
        <w:gridCol w:w="1701"/>
        <w:gridCol w:w="1744"/>
      </w:tblGrid>
      <w:tr>
        <w:trPr>
          <w:jc w:val="center"/>
          <w:trHeight w:val="650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597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Общая численность пострадавших (чел.)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217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687"/>
        </w:trPr>
        <w:tc>
          <w:tcPr>
            <w:tcW w:w="313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ind w:left="283" w:righ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 тяжелыми последствиями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114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 смертельным исходом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260"/>
        </w:trPr>
        <w:tc>
          <w:tcPr>
            <w:tcW w:w="9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Из них пострадавших в одиночных и групповых несчастных случаях: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915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пострадавших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одиночных несчастных случаях (чел.):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630"/>
        </w:trPr>
        <w:tc>
          <w:tcPr>
            <w:tcW w:w="313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 тяжелыми последствиями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70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 смертельным исходом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1215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пострадавших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групповых несчастных случаях (чел.):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несчастных случаев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несчастн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ых случаев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несчастны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случа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несчастны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случа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  <w:trHeight w:val="570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 тяжелыми последствиями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 смертельным исходом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</w:tbl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shd w:val="nil" w:color="auto"/>
        <w:spacing w:line="240" w:lineRule="auto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</w:p>
    <w:p>
      <w:pPr>
        <w:keepNext/>
        <w:spacing w:after="0" w:afterAutospacing="0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Распредел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ение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пострадавших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несчастных случаев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(одиночных и групповых)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тяжелым исходом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и со смертельным исходом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по причинам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keepNext/>
        <w:spacing w:after="0" w:afterAutospacing="0" w:line="240" w:lineRule="auto"/>
        <w:contextualSpacing/>
        <w:jc w:val="right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блица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tbl>
      <w:tblPr>
        <w:tblpPr w:horzAnchor="margin" w:tblpX="148" w:vertAnchor="text" w:tblpY="248" w:leftFromText="180" w:topFromText="0" w:rightFromText="180" w:bottomFromText="0"/>
        <w:tblW w:w="9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9"/>
        <w:gridCol w:w="709"/>
        <w:gridCol w:w="810"/>
        <w:gridCol w:w="1340"/>
        <w:gridCol w:w="1340"/>
      </w:tblGrid>
      <w:tr>
        <w:trPr>
          <w:trHeight w:val="175"/>
        </w:trPr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Наименование причины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Конструктивные недостатки и недостаточная надежность машин, механизмов, оборудования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Несовершенство технологического процесса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Эксплуатация неисправных машин, механизмов, оборудования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технологического процесса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требований безопасности при эксплуатации транспортных средств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правил дорожного движения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Неудовлетворительная организация производства работ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Недостатки в организации и проведении подготовки работников по охране труда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Неудовлетворительное содержание и недостатки в организации рабочих мест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работником трудового распорядка и дисциплины труда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Неприменение работником средств индивидуальной защиты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Прочие причины, квалифицированные по материалам расследования несчастных случаев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Неудовлетворительное техническое состояние здания, сооружения, территории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Использование пострадавшего не по специальности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301"/>
        </w:trPr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тяжелым исходом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и со смертельным исходом в том числе и в групповых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чел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</w:tbl>
    <w:p>
      <w:pPr>
        <w:spacing w:after="0" w:afterAutospacing="0" w:line="240" w:lineRule="auto"/>
        <w:ind w:left="0" w:right="0" w:firstLine="709"/>
        <w:contextualSpacing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В общей структуре причин тяжелых и смертельных несчастных случаев</w:t>
        <w:br/>
        <w:t xml:space="preserve">(в том числе групповых) на производстве, произошедших в 2023 году, большую часть (56%) занимают типичные причины организационного характера: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– 19,6%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неудовлетворительная организация производства ра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бот;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– 17,6%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нарушения правил дорожного движения;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– 11,8%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нарушение технологического процесса;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– 9,8%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нарушение работником трудового распорядка и дисциплины труда.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contextualSpacing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Распредел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ение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пострадавших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несчастных случаев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br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(одиночных и групповых)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 смертельным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исходом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по причинам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r>
    </w:p>
    <w:p>
      <w:pPr>
        <w:keepNext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tbl>
      <w:tblPr>
        <w:tblpPr w:horzAnchor="margin" w:tblpX="148" w:vertAnchor="text" w:tblpY="248" w:leftFromText="180" w:topFromText="0" w:rightFromText="180" w:bottomFromText="0"/>
        <w:tblW w:w="9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850"/>
        <w:gridCol w:w="952"/>
        <w:gridCol w:w="1340"/>
        <w:gridCol w:w="1340"/>
      </w:tblGrid>
      <w:tr>
        <w:trPr>
          <w:trHeight w:val="175"/>
        </w:trPr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Наименование причины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Конструктивные недостатки и недостаточная надежность машин, механизмов, оборудования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Эксплуатация неисправных машин, механизмов, оборудования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99"/>
        </w:trPr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технологического процесса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требований безопасности при эксплуатации транспортных средств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правил дорожного движения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Неудовлетворительная организация производства работ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Недостатки в организации и проведении подготовки работников по охране труда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Неудовлетворительное содержание и недостатки в организации рабочих мест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Нарушение работником трудового распорядка и дисциплины труда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Неприменение работником средств индивидуальной защиты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Прочие причины, квалифицированные по материалам расследования несчастных случаев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Неудовлетворительное техническое состояние здания, сооружения, территории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Использование пострадавшего не по специальности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Несовершенство технологического процесса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301"/>
        </w:trPr>
        <w:tc>
          <w:tcPr>
            <w:tcW w:w="5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567" w:leader="none"/>
                <w:tab w:val="left" w:pos="1134" w:leader="none"/>
              </w:tabs>
              <w:spacing w:after="0" w:afterAutospacing="0" w:line="240" w:lineRule="auto"/>
              <w:ind w:right="-2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со смертельным исходом в том числе и в групповых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чел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line="240" w:lineRule="auto"/>
        <w:contextualSpacing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В общей структуре причин смертельных несчастных случаев</w:t>
        <w:br/>
        <w:t xml:space="preserve">на производстве, произошедших в 2023 году, большую часть (74,3%) занимают типичные причины организационного характера: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– 28,6% 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неудовлетворительная организация производства работ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– 31,4% 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арушение правил дорожного движения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– 14,3%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 несовершенство технологического процесса.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hd w:val="nil" w:color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Распределение пострадавших в несчастных случаев (одиночных и групповых)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</w:rPr>
        <w:t xml:space="preserve">с тяжелыми последствиями и со смертельным исходом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по видам экономической деятельности организаций (ОКВЭД)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contextualSpacing/>
        <w:jc w:val="right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Таблица 4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tbl>
      <w:tblPr>
        <w:tblStyle w:val="859"/>
        <w:tblW w:w="0" w:type="auto"/>
        <w:tblLayout w:type="fixed"/>
        <w:tblLook w:val="04A0" w:firstRow="1" w:lastRow="0" w:firstColumn="1" w:lastColumn="0" w:noHBand="0" w:noVBand="1"/>
      </w:tblPr>
      <w:tblGrid>
        <w:gridCol w:w="5493"/>
        <w:gridCol w:w="850"/>
        <w:gridCol w:w="850"/>
        <w:gridCol w:w="1417"/>
        <w:gridCol w:w="1417"/>
      </w:tblGrid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ОКВЭД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hd w:val="nil" w:color="00000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Добыча полезных ископаемых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0"/>
        </w:trPr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Водоснабжение и водоотведение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Торговля оптовая и розничная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Транспортировка и хранение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информации и связи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финансовая и страховая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по операциям с недвижимым имуществом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профессиональная научная и техническая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еятельность административная и сопутствующие дополнительны услуги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Государственное управление и обеспечение военной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здравоохранения и социальных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культуры, спорта, организ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ации досуга и развития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Предоставление прочих видов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Итого: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пострадавших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 тяжелыми последствиями и со смертельным исходом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чел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 w:val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shd w:val="nil" w:color="000000"/>
        <w:spacing w:line="240" w:lineRule="auto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2023 году по сравнению с 2022 годом количество пострадавших, погибших при несчастных случаях на производстве: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снизилось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организациях сферы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обрабатывающих производств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23 до 17 пострадавших;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строительства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 29 до 18;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здравоохранения и социальных услуг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 5 до 2;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образования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4 до 3;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водоснабжения и водоотведения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3 до 0;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деятельности гостиниц и предприятий общественного питания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1 до 0;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увеличилось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организациях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сферы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транспортировки и хранения – с 13 до 23 пострадавших;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обычи полезных ископаемых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2 до 5;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государственного управления и обеспечения военной безопасности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1 до 4;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деятельности по операциям с недвижимым имуществом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1 до 3;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деятельности в области культуры, спорта, организации досуга и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0 до 2;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деятельности в области информации и связи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0 до 1;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финансовой и страховой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0 до 1;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 уровне 2022 года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организациях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сельского хозяйства, охоты и лесного хозяйства – 7 пострадавших;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обеспечению электрической энергией, газом и паром; кондиционированию воздуха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торговли оптовой и розничной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Распределение пострадавших в несчастных случаев (одиночных и групповых)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</w:rPr>
        <w:t xml:space="preserve">со смертельным исходом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по видам экономической деятельности организаций (ОКВЭД)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contextualSpacing/>
        <w:jc w:val="right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Таблица 4.1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tbl>
      <w:tblPr>
        <w:tblStyle w:val="859"/>
        <w:tblW w:w="0" w:type="auto"/>
        <w:tblLayout w:type="fixed"/>
        <w:tblLook w:val="04A0" w:firstRow="1" w:lastRow="0" w:firstColumn="1" w:lastColumn="0" w:noHBand="0" w:noVBand="1"/>
      </w:tblPr>
      <w:tblGrid>
        <w:gridCol w:w="5351"/>
        <w:gridCol w:w="850"/>
        <w:gridCol w:w="850"/>
        <w:gridCol w:w="1417"/>
        <w:gridCol w:w="1506"/>
      </w:tblGrid>
      <w:tr>
        <w:trPr/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ОКВЭД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hd w:val="nil" w:color="000000"/>
              <w:spacing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247"/>
        </w:trPr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Добыча полезных ископаемых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280"/>
        </w:trPr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Водоснабжение и водоотведение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Торговля оптовая и розничная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Транспортировка и хранение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информации и связи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финансовая и страховая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по операциям с недвижимым имуществом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профессиональная научная и техническая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еятельность административная и сопутствующие дополнительны услуги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Государственное управление и обеспечение военной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здравоохранения и социальных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культуры, спорта, организ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ации досуга и развития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Предоставление прочих видов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351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Итого: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пострадавших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 смертельным исходом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чел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506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</w:tbl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2023 году по сравнению с 2022 годом количество пострадавших, погибших при несчастных случаях на производстве: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снизилось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организациях по обеспечению электрической энергией, газом и паром; кондиционированию воздуха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3 до 2 пострадавших; образования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1 до 0;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увеличилось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организациях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строительства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7 до 10 пострадавших;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транспортировки и хранения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5 до 8;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обрабатывающих производств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3 до 4; сельского хозяйства, охоты и лесного хозяйства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2 до 3; по добыче полезных ископаемых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 0 до 2;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государственного управления и обеспечения военной безопасности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 0 до 2;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деятельности административной и сопутствующих дополнительных услуг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0 до 1;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 уровне 2022 года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организациях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профессиональной научной и технической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деятельности – 2 пострадавших;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торговли оптовой и розничной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деятельности по операциям с недвижимым имуществом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1.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Распределение пострадавших в несчастных случаев (одиночных и групповых)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</w:rPr>
        <w:t xml:space="preserve">с тяжелыми последствиями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видам экономической деятельности организаций (ОКВЭД)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contextualSpacing/>
        <w:jc w:val="right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Таблица 4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tbl>
      <w:tblPr>
        <w:tblStyle w:val="859"/>
        <w:tblW w:w="0" w:type="auto"/>
        <w:tblLayout w:type="fixed"/>
        <w:tblLook w:val="04A0" w:firstRow="1" w:lastRow="0" w:firstColumn="1" w:lastColumn="0" w:noHBand="0" w:noVBand="1"/>
      </w:tblPr>
      <w:tblGrid>
        <w:gridCol w:w="5493"/>
        <w:gridCol w:w="850"/>
        <w:gridCol w:w="850"/>
        <w:gridCol w:w="1417"/>
        <w:gridCol w:w="1417"/>
      </w:tblGrid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ОКВЭД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2023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1-ое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Добыча полезных ископаемых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0"/>
        </w:trPr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Водоснабжение и водоотведение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Торговля оптовая и розничная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Транспортировка и хранение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информации и связи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финансовая и страховая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по операциям с недвижимым имуществом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профессиональная научная и техническая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еятельность административная и сопутствующие дополнительны услуги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vMerge w:val="restart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Государственное управление и обеспечение военной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здравоохранения и социальных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Деятельность в области культуры, спорта, организ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ации досуга и развития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Предоставление прочих видов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93" w:type="dxa"/>
            <w:noWrap w:val="false"/>
            <w:textDirection w:val="lrTb"/>
          </w:tcPr>
          <w:p>
            <w:pPr>
              <w:shd w:val="nil" w:color="000000"/>
              <w:spacing w:line="240" w:lineRule="auto"/>
              <w:contextualSpacing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Итого: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пострадавших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 тяжелыми последствиями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чел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</w:tbl>
    <w:p>
      <w:pPr>
        <w:shd w:val="nil" w:color="00000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2023 году по сравнению с 2022 годом количество пострадавших, погибших при несчастных случаях на производстве: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снизилось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организациях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22 до 8 пострадавших;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обрабатывающих производств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20 до 14;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здравоохранения и социальных услуг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3 до 2;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водоснабжения и водоотведения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3 до 0;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еятельности административной и сопутствующих дополнительных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услуг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3 до 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еятельности гостиниц и предприятий общественного питания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1 до 0;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увеличилось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организациях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транспортировки и хранения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8 до 12 пострадавших;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сельского хозяйства, охоты и лесного хозяйства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5 до 4;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обеспечению электрической энергией, газом и паром; кондиционированием воздуха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4 до 6;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профессиональная научная и техническая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деятельность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</w:t>
        <w:br/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1 до 2;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государственного управления и обеспечения военной безопасности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</w:t>
        <w:br/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1 до 2;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деятельности по операциям с недвижимым имуществом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0 до 2;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информации и связи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0 до 1;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финансовой и страховой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 0 до 1;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культуры, спорта, организ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ации досуга и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0 до 2;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spacing w:line="240" w:lineRule="auto"/>
        <w:ind w:left="0" w:right="0" w:firstLine="850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 уровне 2022 года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организациях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торговли оптовой и розничной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</w:t>
        <w:br/>
        <w:t xml:space="preserve">6 пострадавших;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3; по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добыче полезных ископаемых – 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hd w:val="nil" w:color="auto"/>
        <w:spacing w:after="0" w:afterAutospacing="0" w:line="240" w:lineRule="auto"/>
        <w:contextualSpacing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sectPr>
      <w:headerReference w:type="default" r:id="rId8"/>
      <w:footnotePr/>
      <w:endnotePr/>
      <w:type w:val="oddPage"/>
      <w:pgSz w:w="11906" w:h="16838" w:orient="portrait"/>
      <w:pgMar w:top="1134" w:right="567" w:bottom="992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6434585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60"/>
    <w:uiPriority w:val="99"/>
  </w:style>
  <w:style w:type="character" w:styleId="707">
    <w:name w:val="Footer Char"/>
    <w:basedOn w:val="855"/>
    <w:link w:val="862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2"/>
    <w:uiPriority w:val="99"/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5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5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spacing w:after="57"/>
      <w:ind w:left="0" w:right="0" w:firstLine="0"/>
    </w:pPr>
  </w:style>
  <w:style w:type="paragraph" w:styleId="843">
    <w:name w:val="toc 2"/>
    <w:basedOn w:val="853"/>
    <w:next w:val="853"/>
    <w:uiPriority w:val="39"/>
    <w:unhideWhenUsed/>
    <w:pPr>
      <w:spacing w:after="57"/>
      <w:ind w:left="283" w:right="0" w:firstLine="0"/>
    </w:pPr>
  </w:style>
  <w:style w:type="paragraph" w:styleId="844">
    <w:name w:val="toc 3"/>
    <w:basedOn w:val="853"/>
    <w:next w:val="853"/>
    <w:uiPriority w:val="39"/>
    <w:unhideWhenUsed/>
    <w:pPr>
      <w:spacing w:after="57"/>
      <w:ind w:left="567" w:right="0" w:firstLine="0"/>
    </w:pPr>
  </w:style>
  <w:style w:type="paragraph" w:styleId="845">
    <w:name w:val="toc 4"/>
    <w:basedOn w:val="853"/>
    <w:next w:val="853"/>
    <w:uiPriority w:val="39"/>
    <w:unhideWhenUsed/>
    <w:pPr>
      <w:spacing w:after="57"/>
      <w:ind w:left="850" w:right="0" w:firstLine="0"/>
    </w:pPr>
  </w:style>
  <w:style w:type="paragraph" w:styleId="846">
    <w:name w:val="toc 5"/>
    <w:basedOn w:val="853"/>
    <w:next w:val="853"/>
    <w:uiPriority w:val="39"/>
    <w:unhideWhenUsed/>
    <w:pPr>
      <w:spacing w:after="57"/>
      <w:ind w:left="1134" w:right="0" w:firstLine="0"/>
    </w:pPr>
  </w:style>
  <w:style w:type="paragraph" w:styleId="847">
    <w:name w:val="toc 6"/>
    <w:basedOn w:val="853"/>
    <w:next w:val="853"/>
    <w:uiPriority w:val="39"/>
    <w:unhideWhenUsed/>
    <w:pPr>
      <w:spacing w:after="57"/>
      <w:ind w:left="1417" w:right="0" w:firstLine="0"/>
    </w:pPr>
  </w:style>
  <w:style w:type="paragraph" w:styleId="848">
    <w:name w:val="toc 7"/>
    <w:basedOn w:val="853"/>
    <w:next w:val="853"/>
    <w:uiPriority w:val="39"/>
    <w:unhideWhenUsed/>
    <w:pPr>
      <w:spacing w:after="57"/>
      <w:ind w:left="1701" w:right="0" w:firstLine="0"/>
    </w:pPr>
  </w:style>
  <w:style w:type="paragraph" w:styleId="849">
    <w:name w:val="toc 8"/>
    <w:basedOn w:val="853"/>
    <w:next w:val="853"/>
    <w:uiPriority w:val="39"/>
    <w:unhideWhenUsed/>
    <w:pPr>
      <w:spacing w:after="57"/>
      <w:ind w:left="1984" w:right="0" w:firstLine="0"/>
    </w:pPr>
  </w:style>
  <w:style w:type="paragraph" w:styleId="850">
    <w:name w:val="toc 9"/>
    <w:basedOn w:val="853"/>
    <w:next w:val="853"/>
    <w:uiPriority w:val="39"/>
    <w:unhideWhenUsed/>
    <w:pPr>
      <w:spacing w:after="57"/>
      <w:ind w:left="2268" w:right="0" w:firstLine="0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4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hAnsi="Times New Roman" w:eastAsia="Times New Roman" w:cs="Times New Roman"/>
      <w:bCs/>
      <w:sz w:val="28"/>
      <w:szCs w:val="28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table" w:styleId="858">
    <w:name w:val="Light Grid Accent 1"/>
    <w:basedOn w:val="856"/>
    <w:uiPriority w:val="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859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0">
    <w:name w:val="Header"/>
    <w:basedOn w:val="853"/>
    <w:link w:val="86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1" w:customStyle="1">
    <w:name w:val="Верхний колонтитул Знак"/>
    <w:basedOn w:val="855"/>
    <w:link w:val="860"/>
    <w:uiPriority w:val="99"/>
  </w:style>
  <w:style w:type="paragraph" w:styleId="862">
    <w:name w:val="Footer"/>
    <w:basedOn w:val="853"/>
    <w:link w:val="86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3" w:customStyle="1">
    <w:name w:val="Нижний колонтитул Знак"/>
    <w:basedOn w:val="855"/>
    <w:link w:val="862"/>
    <w:uiPriority w:val="99"/>
  </w:style>
  <w:style w:type="character" w:styleId="864" w:customStyle="1">
    <w:name w:val="Заголовок 1 Знак"/>
    <w:basedOn w:val="855"/>
    <w:link w:val="854"/>
    <w:uiPriority w:val="9"/>
    <w:rPr>
      <w:rFonts w:ascii="Times New Roman" w:hAnsi="Times New Roman" w:eastAsia="Times New Roman" w:cs="Times New Roman"/>
      <w:bCs/>
      <w:sz w:val="28"/>
      <w:szCs w:val="28"/>
    </w:rPr>
  </w:style>
  <w:style w:type="paragraph" w:styleId="865">
    <w:name w:val="Balloon Text"/>
    <w:basedOn w:val="853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5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>
    <w:name w:val="List Paragraph"/>
    <w:basedOn w:val="853"/>
    <w:uiPriority w:val="34"/>
    <w:qFormat/>
    <w:pPr>
      <w:ind w:left="720"/>
      <w:contextualSpacing/>
    </w:pPr>
  </w:style>
  <w:style w:type="paragraph" w:styleId="868">
    <w:name w:val="Plain Text"/>
    <w:basedOn w:val="853"/>
    <w:link w:val="869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69" w:customStyle="1">
    <w:name w:val="Текст Знак"/>
    <w:basedOn w:val="855"/>
    <w:link w:val="868"/>
    <w:uiPriority w:val="99"/>
    <w:semiHidden/>
    <w:rPr>
      <w:rFonts w:ascii="Calibri" w:hAnsi="Calibri" w:eastAsia="Calibri" w:cs="Times New Roman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7C3E-5B51-4032-B0D7-7FCF5C08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 Малахова</dc:creator>
  <cp:revision>42</cp:revision>
  <dcterms:created xsi:type="dcterms:W3CDTF">2023-08-21T04:27:00Z</dcterms:created>
  <dcterms:modified xsi:type="dcterms:W3CDTF">2024-09-17T09:21:34Z</dcterms:modified>
</cp:coreProperties>
</file>