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margin" w:tblpY="751" w:leftFromText="180" w:topFromText="0" w:rightFromText="180" w:bottomFromText="0"/>
        <w:tblW w:w="102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"/>
        <w:gridCol w:w="7147"/>
        <w:gridCol w:w="2492"/>
      </w:tblGrid>
      <w:tr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№ п/п</w:t>
            </w:r>
            <w:r/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Наименование показателя деятельности</w:t>
            </w:r>
            <w:r/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  <w:t xml:space="preserve">Значение</w:t>
            </w:r>
            <w:r/>
          </w:p>
        </w:tc>
      </w:tr>
      <w:tr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1.</w:t>
            </w:r>
            <w:r/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20"/>
              <w:contextualSpacing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Наличие у образоват</w:t>
            </w:r>
            <w:r>
              <w:rPr>
                <w:sz w:val="18"/>
                <w:szCs w:val="18"/>
              </w:rPr>
              <w:t xml:space="preserve">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 (далее - организации) опыта работы по следующим направлениям:</w:t>
            </w:r>
            <w:r/>
          </w:p>
          <w:p>
            <w:pPr>
              <w:pStyle w:val="820"/>
              <w:contextualSpacing/>
              <w:ind w:firstLine="540"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- защита прав и законных</w:t>
            </w:r>
            <w:r>
              <w:rPr>
                <w:sz w:val="18"/>
                <w:szCs w:val="18"/>
              </w:rPr>
              <w:t xml:space="preserve"> интересов несовершеннолетних граждан, в том числе оставшихся без попечения родителей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      </w:r>
            <w:r/>
          </w:p>
          <w:p>
            <w:pPr>
              <w:pStyle w:val="820"/>
              <w:contextualSpacing/>
              <w:ind w:firstLine="540"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- профилактика безнадзорности и беспризорности, социального сиротства, жестокого обращения с несовершеннолетними гражданами;</w:t>
            </w:r>
            <w:r/>
          </w:p>
          <w:p>
            <w:pPr>
              <w:pStyle w:val="820"/>
              <w:contextualSpacing/>
              <w:ind w:firstLine="540"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- о</w:t>
            </w:r>
            <w:r>
              <w:rPr>
                <w:sz w:val="18"/>
                <w:szCs w:val="18"/>
              </w:rPr>
              <w:t xml:space="preserve">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      </w:r>
            <w:r/>
          </w:p>
          <w:p>
            <w:pPr>
              <w:pStyle w:val="820"/>
              <w:contextualSpacing/>
              <w:ind w:firstLine="540"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- 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      </w:r>
            <w:r/>
          </w:p>
          <w:p>
            <w:pPr>
              <w:pStyle w:val="820"/>
              <w:contextualSpacing/>
              <w:ind w:firstLine="540"/>
              <w:jc w:val="both"/>
              <w:rPr>
                <w:sz w:val="18"/>
                <w:szCs w:val="18"/>
                <w:highlight w:val="yellow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- 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ребенка,</w:t>
            </w:r>
            <w:r>
              <w:rPr>
                <w:sz w:val="18"/>
                <w:szCs w:val="18"/>
              </w:rPr>
              <w:t xml:space="preserve"> по вопросам семейного устройства и защиты прав детей, в том числе участие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подготовке.</w:t>
            </w:r>
            <w:r>
              <w:rPr>
                <w:sz w:val="18"/>
                <w:szCs w:val="18"/>
                <w:highlight w:val="yellow"/>
              </w:rPr>
            </w:r>
            <w:r/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i/>
                <w:sz w:val="18"/>
                <w:szCs w:val="18"/>
                <w:highlight w:val="yellow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  <w:t xml:space="preserve">Перечислить имеющиеся</w:t>
            </w:r>
            <w:r>
              <w:rPr>
                <w:bCs/>
                <w:i/>
                <w:sz w:val="18"/>
                <w:szCs w:val="18"/>
                <w:highlight w:val="yellow"/>
              </w:rPr>
            </w:r>
            <w:r/>
          </w:p>
        </w:tc>
      </w:tr>
      <w:tr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2.</w:t>
            </w:r>
            <w:r/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20"/>
              <w:contextualSpacing/>
              <w:jc w:val="both"/>
              <w:rPr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Продолжительность осуществления деятельности организации на территории Новосибирской области в социальной сфере.</w:t>
            </w:r>
            <w:r/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/>
          </w:p>
        </w:tc>
      </w:tr>
      <w:tr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3.</w:t>
            </w:r>
            <w:r/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Наличие в штате организации работников, специализирующихся по направлениям деятельности, соответствующим полномочию органа опеки и попечит</w:t>
            </w:r>
            <w:r>
              <w:rPr>
                <w:sz w:val="18"/>
                <w:szCs w:val="18"/>
              </w:rPr>
              <w:t xml:space="preserve">ельства по подбору и подготовке граждан, выразивших желание стать опекунами или попечителями несовершеннолетних граждан либо принять</w:t>
            </w:r>
            <w:r>
              <w:rPr>
                <w:sz w:val="18"/>
                <w:szCs w:val="18"/>
              </w:rPr>
              <w:t xml:space="preserve">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полномочие), подтвержденного списками специалистов (учитывается наличие опыта работы в социальной сфере).</w:t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/>
          </w:p>
        </w:tc>
      </w:tr>
      <w:tr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4.</w:t>
            </w:r>
            <w:r/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sz w:val="18"/>
                <w:szCs w:val="18"/>
              </w:rPr>
              <w:t xml:space="preserve">Наличие у организации материально-технических и иных возможностей для осуществления полномочия органа опеки и попечительства в пределах территории соответствующего муниципального образования либо нескольких муниципальных образований (</w:t>
            </w:r>
            <w:r>
              <w:rPr>
                <w:sz w:val="18"/>
                <w:szCs w:val="18"/>
              </w:rPr>
              <w:t xml:space="preserve">наличие нежилого помещения для проведения очных занятий, </w:t>
            </w:r>
            <w:r>
              <w:rPr>
                <w:sz w:val="18"/>
                <w:szCs w:val="18"/>
              </w:rPr>
              <w:t xml:space="preserve">количество единиц оборудования и других материальных ресурсов, планируемых к использованию).</w:t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/>
          </w:p>
        </w:tc>
      </w:tr>
      <w:tr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5.</w:t>
            </w:r>
            <w:r/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20"/>
              <w:contextualSpacing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Размещение на официальном сайте организации в сети «Интернет» публичного годового отчета</w:t>
            </w:r>
            <w:r/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/>
          </w:p>
        </w:tc>
      </w:tr>
      <w:tr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6.</w:t>
            </w:r>
            <w:r/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Обеспечение организацией условий доступности для инвалидов и иных маломобильных групп населения.</w:t>
            </w:r>
            <w:r/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/>
          </w:p>
        </w:tc>
      </w:tr>
      <w:tr>
        <w:trPr/>
        <w:tc>
          <w:tcPr>
            <w:tcW w:w="562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7.</w:t>
            </w:r>
            <w:r/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Охват граждан/ муниципальных образований Новосибирской области подготовкой (показатель за год):</w:t>
            </w:r>
            <w:r/>
          </w:p>
          <w:p>
            <w:pPr>
              <w:pStyle w:val="820"/>
              <w:ind w:firstLine="535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- планируемое количество граждан</w:t>
            </w:r>
            <w:r>
              <w:rPr>
                <w:bCs/>
                <w:sz w:val="18"/>
                <w:szCs w:val="18"/>
              </w:rPr>
              <w:t xml:space="preserve">;</w:t>
            </w:r>
            <w:r/>
          </w:p>
          <w:p>
            <w:pPr>
              <w:pStyle w:val="820"/>
              <w:ind w:firstLine="535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- количество граждан, прошедших подготовку за год</w:t>
            </w:r>
            <w:r>
              <w:rPr>
                <w:bCs/>
                <w:sz w:val="18"/>
                <w:szCs w:val="18"/>
              </w:rPr>
              <w:t xml:space="preserve"> (по факту)</w:t>
            </w:r>
            <w:r>
              <w:rPr>
                <w:bCs/>
                <w:sz w:val="18"/>
                <w:szCs w:val="18"/>
              </w:rPr>
              <w:t xml:space="preserve">.</w:t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/>
          </w:p>
        </w:tc>
      </w:tr>
      <w:tr>
        <w:trPr/>
        <w:tc>
          <w:tcPr>
            <w:tcW w:w="562" w:type="dxa"/>
            <w:vAlign w:val="top"/>
            <w:vMerge w:val="continue"/>
            <w:textDirection w:val="lrTb"/>
            <w:noWrap w:val="false"/>
          </w:tcPr>
          <w:p>
            <w:pPr>
              <w:pStyle w:val="820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Оценка степени удовлетворенности граждан качеством обучения в организации:</w:t>
            </w:r>
            <w:r/>
          </w:p>
          <w:p>
            <w:pPr>
              <w:pStyle w:val="820"/>
              <w:ind w:firstLine="535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- доля граждан, прошедших обучение за отчетный период, удовлетворенных качеством обучения, от общего количества граждан, прошедших обучение за отчетный период;</w:t>
            </w:r>
            <w:r/>
          </w:p>
          <w:p>
            <w:pPr>
              <w:pStyle w:val="820"/>
              <w:ind w:firstLine="535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- количество жалоб граждан на качество обучения, поступивших в организацию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за отчетный период (из них: количество жалоб, </w:t>
            </w:r>
            <w:r>
              <w:rPr>
                <w:sz w:val="18"/>
                <w:szCs w:val="18"/>
                <w:shd w:val="clear" w:color="auto" w:fill="ffffff"/>
              </w:rPr>
              <w:t xml:space="preserve">в которых приведенные 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факты</w:t>
            </w:r>
            <w:r>
              <w:rPr>
                <w:sz w:val="18"/>
                <w:szCs w:val="18"/>
                <w:shd w:val="clear" w:color="auto" w:fill="ffffff"/>
              </w:rPr>
              <w:t xml:space="preserve"> подтвердились)</w:t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/>
          </w:p>
        </w:tc>
      </w:tr>
      <w:tr>
        <w:trPr/>
        <w:tc>
          <w:tcPr>
            <w:tcW w:w="56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8.</w:t>
            </w:r>
            <w:r/>
          </w:p>
        </w:tc>
        <w:tc>
          <w:tcPr>
            <w:tcW w:w="7147" w:type="dxa"/>
            <w:vAlign w:val="top"/>
            <w:textDirection w:val="lrTb"/>
            <w:noWrap w:val="false"/>
          </w:tcPr>
          <w:p>
            <w:pPr>
              <w:pStyle w:val="820"/>
              <w:jc w:val="both"/>
              <w:rPr>
                <w:bCs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sz w:val="18"/>
                <w:szCs w:val="18"/>
              </w:rPr>
              <w:t xml:space="preserve">Проведение организацией антикоррупционных мероприятий.</w:t>
            </w:r>
            <w:r/>
          </w:p>
        </w:tc>
        <w:tc>
          <w:tcPr>
            <w:tcW w:w="2492" w:type="dxa"/>
            <w:vAlign w:val="top"/>
            <w:textDirection w:val="lrTb"/>
            <w:noWrap w:val="false"/>
          </w:tcPr>
          <w:p>
            <w:pPr>
              <w:pStyle w:val="820"/>
              <w:rPr>
                <w:bCs/>
                <w:i/>
                <w:sz w:val="18"/>
                <w:szCs w:val="18"/>
              </w:rPr>
              <w:framePr w:hSpace="180" w:wrap="around" w:vAnchor="margin" w:hAnchor="margin" w:y="751"/>
            </w:pPr>
            <w:r>
              <w:rPr>
                <w:bCs/>
                <w:i/>
                <w:sz w:val="18"/>
                <w:szCs w:val="18"/>
              </w:rPr>
            </w:r>
            <w:r/>
          </w:p>
        </w:tc>
      </w:tr>
    </w:tbl>
    <w:p>
      <w:pPr>
        <w:jc w:val="righ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№ 1</w:t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425" w:right="624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16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8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60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3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40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76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4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2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92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rPr>
      <w:sz w:val="24"/>
      <w:szCs w:val="24"/>
      <w:lang w:val="ru-RU" w:eastAsia="ru-RU" w:bidi="ar-SA"/>
    </w:rPr>
  </w:style>
  <w:style w:type="character" w:styleId="821">
    <w:name w:val="Основной шрифт абзаца"/>
    <w:next w:val="821"/>
    <w:link w:val="820"/>
    <w:uiPriority w:val="1"/>
    <w:semiHidden/>
    <w:unhideWhenUsed/>
  </w:style>
  <w:style w:type="table" w:styleId="822">
    <w:name w:val="Обычная таблица"/>
    <w:next w:val="822"/>
    <w:link w:val="820"/>
    <w:uiPriority w:val="99"/>
    <w:semiHidden/>
    <w:unhideWhenUsed/>
    <w:qFormat/>
    <w:tblPr/>
  </w:style>
  <w:style w:type="numbering" w:styleId="823">
    <w:name w:val="Нет списка"/>
    <w:next w:val="823"/>
    <w:link w:val="820"/>
    <w:uiPriority w:val="99"/>
    <w:semiHidden/>
    <w:unhideWhenUsed/>
  </w:style>
  <w:style w:type="paragraph" w:styleId="824">
    <w:name w:val="Основной текст"/>
    <w:basedOn w:val="820"/>
    <w:next w:val="824"/>
    <w:link w:val="820"/>
    <w:rPr>
      <w:sz w:val="28"/>
      <w:szCs w:val="20"/>
    </w:rPr>
  </w:style>
  <w:style w:type="paragraph" w:styleId="825">
    <w:name w:val="Текст выноски"/>
    <w:basedOn w:val="820"/>
    <w:next w:val="825"/>
    <w:link w:val="820"/>
    <w:semiHidden/>
    <w:rPr>
      <w:rFonts w:ascii="Tahoma" w:hAnsi="Tahoma" w:cs="Tahoma"/>
      <w:sz w:val="16"/>
      <w:szCs w:val="16"/>
    </w:rPr>
  </w:style>
  <w:style w:type="paragraph" w:styleId="826">
    <w:name w:val="Абзац списка"/>
    <w:basedOn w:val="820"/>
    <w:next w:val="826"/>
    <w:link w:val="82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table" w:styleId="827">
    <w:name w:val="Сетка таблицы"/>
    <w:basedOn w:val="822"/>
    <w:next w:val="827"/>
    <w:link w:val="820"/>
    <w:uiPriority w:val="99"/>
    <w:tblPr/>
  </w:style>
  <w:style w:type="paragraph" w:styleId="828">
    <w:name w:val="Текст концевой сноски"/>
    <w:basedOn w:val="820"/>
    <w:next w:val="828"/>
    <w:link w:val="829"/>
    <w:uiPriority w:val="99"/>
    <w:unhideWhenUsed/>
    <w:rPr>
      <w:rFonts w:ascii="Calibri" w:hAnsi="Calibri"/>
      <w:sz w:val="20"/>
      <w:szCs w:val="20"/>
    </w:rPr>
  </w:style>
  <w:style w:type="character" w:styleId="829">
    <w:name w:val="Текст концевой сноски Знак"/>
    <w:basedOn w:val="821"/>
    <w:next w:val="829"/>
    <w:link w:val="828"/>
    <w:uiPriority w:val="99"/>
    <w:rPr>
      <w:rFonts w:ascii="Calibri" w:hAnsi="Calibri"/>
    </w:rPr>
  </w:style>
  <w:style w:type="character" w:styleId="830">
    <w:name w:val="Знак концевой сноски"/>
    <w:basedOn w:val="821"/>
    <w:next w:val="830"/>
    <w:link w:val="820"/>
    <w:uiPriority w:val="99"/>
    <w:unhideWhenUsed/>
    <w:rPr>
      <w:vertAlign w:val="superscript"/>
    </w:rPr>
  </w:style>
  <w:style w:type="character" w:styleId="831" w:default="1">
    <w:name w:val="Default Paragraph Font"/>
    <w:uiPriority w:val="1"/>
    <w:semiHidden/>
    <w:unhideWhenUsed/>
  </w:style>
  <w:style w:type="numbering" w:styleId="832" w:default="1">
    <w:name w:val="No List"/>
    <w:uiPriority w:val="99"/>
    <w:semiHidden/>
    <w:unhideWhenUsed/>
  </w:style>
  <w:style w:type="table" w:styleId="8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межведомственной координации вопросов демографической и семейной политики</dc:title>
  <dc:creator>cev</dc:creator>
  <cp:revision>209</cp:revision>
  <dcterms:created xsi:type="dcterms:W3CDTF">2017-07-12T05:36:00Z</dcterms:created>
  <dcterms:modified xsi:type="dcterms:W3CDTF">2023-11-29T08:46:27Z</dcterms:modified>
  <cp:version>786432</cp:version>
</cp:coreProperties>
</file>